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F85CC" w14:textId="4E5B484B" w:rsidR="0099682E" w:rsidRPr="000C68C2" w:rsidRDefault="00660361" w:rsidP="0067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C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</w:t>
      </w:r>
    </w:p>
    <w:p w14:paraId="649CD419" w14:textId="77777777" w:rsidR="00DC70F5" w:rsidRPr="000C68C2" w:rsidRDefault="00DC70F5" w:rsidP="0067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1BFFC" w14:textId="1EF13FB0" w:rsidR="00DC70F5" w:rsidRDefault="00DC70F5" w:rsidP="00DC70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68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ВОПРОСУ: </w:t>
      </w:r>
    </w:p>
    <w:p w14:paraId="2824FFA2" w14:textId="77777777" w:rsidR="00660361" w:rsidRPr="000C68C2" w:rsidRDefault="00660361" w:rsidP="00DC70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FAF1EE1" w14:textId="12D51F97" w:rsidR="00285A34" w:rsidRPr="000C68C2" w:rsidRDefault="00C37857" w:rsidP="00DC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C2">
        <w:rPr>
          <w:rFonts w:ascii="Times New Roman" w:hAnsi="Times New Roman" w:cs="Times New Roman"/>
          <w:b/>
          <w:sz w:val="28"/>
          <w:szCs w:val="28"/>
        </w:rPr>
        <w:t xml:space="preserve">Об итогах социально-экономического развития Санкт-Петербурга </w:t>
      </w:r>
      <w:r w:rsidR="00DC70F5" w:rsidRPr="000C68C2">
        <w:rPr>
          <w:rFonts w:ascii="Times New Roman" w:hAnsi="Times New Roman" w:cs="Times New Roman"/>
          <w:b/>
          <w:sz w:val="28"/>
          <w:szCs w:val="28"/>
        </w:rPr>
        <w:br/>
      </w:r>
      <w:r w:rsidR="00C94C6C" w:rsidRPr="000C68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E3DD0" w:rsidRPr="000C68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3DD0" w:rsidRPr="000C68C2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660361">
        <w:rPr>
          <w:rFonts w:ascii="Times New Roman" w:hAnsi="Times New Roman" w:cs="Times New Roman"/>
          <w:b/>
          <w:sz w:val="28"/>
          <w:szCs w:val="28"/>
        </w:rPr>
        <w:t>20</w:t>
      </w:r>
      <w:r w:rsidR="00C94C6C" w:rsidRPr="000C68C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60361">
        <w:rPr>
          <w:rFonts w:ascii="Times New Roman" w:hAnsi="Times New Roman" w:cs="Times New Roman"/>
          <w:b/>
          <w:sz w:val="28"/>
          <w:szCs w:val="28"/>
        </w:rPr>
        <w:t>,</w:t>
      </w:r>
      <w:r w:rsidR="00DC70F5" w:rsidRPr="000C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635" w:rsidRPr="000C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прогнозе социально-экономиче</w:t>
      </w:r>
      <w:r w:rsidR="00561623" w:rsidRPr="000C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развития Санкт-Петербурга</w:t>
      </w:r>
      <w:r w:rsidR="00DC70F5" w:rsidRPr="000C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1635" w:rsidRPr="000C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405648" w:rsidRPr="000C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6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71635" w:rsidRPr="000C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6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71635" w:rsidRPr="000C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14:paraId="5C409326" w14:textId="77777777" w:rsidR="0099682E" w:rsidRPr="000C68C2" w:rsidRDefault="0099682E" w:rsidP="006369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45A0AD9" w14:textId="6487D290" w:rsidR="006130B1" w:rsidRPr="000C68C2" w:rsidRDefault="00DC70F5" w:rsidP="00DC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C2">
        <w:rPr>
          <w:rFonts w:ascii="Times New Roman" w:hAnsi="Times New Roman" w:cs="Times New Roman"/>
          <w:b/>
          <w:sz w:val="28"/>
          <w:szCs w:val="28"/>
        </w:rPr>
        <w:t>1. </w:t>
      </w:r>
      <w:r w:rsidR="00544E45" w:rsidRPr="000C68C2">
        <w:rPr>
          <w:rFonts w:ascii="Times New Roman" w:hAnsi="Times New Roman" w:cs="Times New Roman"/>
          <w:b/>
          <w:sz w:val="28"/>
          <w:szCs w:val="28"/>
        </w:rPr>
        <w:t>Об итогах со</w:t>
      </w:r>
      <w:r w:rsidR="00561623" w:rsidRPr="000C68C2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  <w:r w:rsidR="00561623" w:rsidRPr="000C68C2">
        <w:rPr>
          <w:rFonts w:ascii="Times New Roman" w:hAnsi="Times New Roman" w:cs="Times New Roman"/>
          <w:b/>
          <w:sz w:val="28"/>
          <w:szCs w:val="28"/>
        </w:rPr>
        <w:br/>
      </w:r>
      <w:r w:rsidR="00544E45" w:rsidRPr="000C68C2">
        <w:rPr>
          <w:rFonts w:ascii="Times New Roman" w:hAnsi="Times New Roman" w:cs="Times New Roman"/>
          <w:b/>
          <w:sz w:val="28"/>
          <w:szCs w:val="28"/>
        </w:rPr>
        <w:t xml:space="preserve">Санкт-Петербурга за </w:t>
      </w:r>
      <w:r w:rsidR="007E3DD0" w:rsidRPr="000C68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E3DD0" w:rsidRPr="000C68C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DC2BA3" w:rsidRPr="000C68C2">
        <w:rPr>
          <w:rFonts w:ascii="Times New Roman" w:hAnsi="Times New Roman" w:cs="Times New Roman"/>
          <w:b/>
          <w:sz w:val="28"/>
          <w:szCs w:val="28"/>
        </w:rPr>
        <w:t>20</w:t>
      </w:r>
      <w:r w:rsidR="00660361">
        <w:rPr>
          <w:rFonts w:ascii="Times New Roman" w:hAnsi="Times New Roman" w:cs="Times New Roman"/>
          <w:b/>
          <w:sz w:val="28"/>
          <w:szCs w:val="28"/>
        </w:rPr>
        <w:t>20</w:t>
      </w:r>
      <w:r w:rsidR="00544E45" w:rsidRPr="000C68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E3DD0" w:rsidRPr="000C68C2">
        <w:rPr>
          <w:rFonts w:ascii="Times New Roman" w:hAnsi="Times New Roman" w:cs="Times New Roman"/>
          <w:b/>
          <w:sz w:val="28"/>
          <w:szCs w:val="28"/>
        </w:rPr>
        <w:t>а</w:t>
      </w:r>
    </w:p>
    <w:p w14:paraId="7D5EEBD6" w14:textId="77777777" w:rsidR="00971635" w:rsidRPr="000C68C2" w:rsidRDefault="00971635" w:rsidP="00EF404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A7C1C" w14:textId="77777777" w:rsidR="00EF4043" w:rsidRPr="004827C0" w:rsidRDefault="00756E6E" w:rsidP="00405648">
      <w:pPr>
        <w:pStyle w:val="2"/>
        <w:ind w:right="0"/>
        <w:jc w:val="center"/>
        <w:rPr>
          <w:rFonts w:eastAsiaTheme="minorHAnsi"/>
          <w:bCs/>
          <w:lang w:eastAsia="en-US"/>
        </w:rPr>
      </w:pPr>
      <w:r w:rsidRPr="004827C0">
        <w:rPr>
          <w:rFonts w:eastAsiaTheme="minorHAnsi"/>
          <w:bCs/>
          <w:lang w:eastAsia="en-US"/>
        </w:rPr>
        <w:t>ОБОРОТ ОРГАНИЗАЦИЙ</w:t>
      </w:r>
    </w:p>
    <w:p w14:paraId="04C81252" w14:textId="77777777" w:rsidR="00EF4043" w:rsidRPr="000C68C2" w:rsidRDefault="00EF4043" w:rsidP="00EF404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A738698" w14:textId="036E0A2E" w:rsidR="00914651" w:rsidRPr="00F85CD6" w:rsidRDefault="00756E6E" w:rsidP="0091465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85CD6">
        <w:rPr>
          <w:rFonts w:asciiTheme="majorBidi" w:hAnsiTheme="majorBidi" w:cstheme="majorBidi"/>
          <w:sz w:val="28"/>
          <w:szCs w:val="28"/>
        </w:rPr>
        <w:t xml:space="preserve">Оборот организаций </w:t>
      </w:r>
      <w:r w:rsidR="00F85CD6" w:rsidRPr="00F85CD6">
        <w:rPr>
          <w:rFonts w:asciiTheme="majorBidi" w:hAnsiTheme="majorBidi" w:cstheme="majorBidi"/>
          <w:sz w:val="28"/>
          <w:szCs w:val="28"/>
        </w:rPr>
        <w:t xml:space="preserve">в январе-июне 2020 года снизился на </w:t>
      </w:r>
      <w:r w:rsidR="002A6659">
        <w:rPr>
          <w:rFonts w:asciiTheme="majorBidi" w:hAnsiTheme="majorBidi" w:cstheme="majorBidi"/>
          <w:sz w:val="28"/>
          <w:szCs w:val="28"/>
        </w:rPr>
        <w:t>11,4</w:t>
      </w:r>
      <w:r w:rsidR="00545101">
        <w:rPr>
          <w:rFonts w:asciiTheme="majorBidi" w:hAnsiTheme="majorBidi" w:cstheme="majorBidi"/>
          <w:sz w:val="28"/>
          <w:szCs w:val="28"/>
        </w:rPr>
        <w:t>%</w:t>
      </w:r>
      <w:r w:rsidR="00545101">
        <w:rPr>
          <w:rFonts w:asciiTheme="majorBidi" w:hAnsiTheme="majorBidi" w:cstheme="majorBidi"/>
          <w:sz w:val="28"/>
          <w:szCs w:val="28"/>
        </w:rPr>
        <w:br/>
      </w:r>
      <w:r w:rsidR="00F85CD6" w:rsidRPr="00F85CD6">
        <w:rPr>
          <w:rFonts w:asciiTheme="majorBidi" w:hAnsiTheme="majorBidi" w:cstheme="majorBidi"/>
          <w:sz w:val="28"/>
          <w:szCs w:val="28"/>
        </w:rPr>
        <w:t xml:space="preserve">к </w:t>
      </w:r>
      <w:r w:rsidR="00F85CD6" w:rsidRPr="00116315">
        <w:rPr>
          <w:rFonts w:asciiTheme="majorBidi" w:hAnsiTheme="majorBidi" w:cstheme="majorBidi"/>
          <w:sz w:val="28"/>
          <w:szCs w:val="28"/>
        </w:rPr>
        <w:t>соответствующему периоду 2019 года и</w:t>
      </w:r>
      <w:r w:rsidRPr="00116315">
        <w:rPr>
          <w:rFonts w:asciiTheme="majorBidi" w:hAnsiTheme="majorBidi" w:cstheme="majorBidi"/>
          <w:sz w:val="28"/>
          <w:szCs w:val="28"/>
        </w:rPr>
        <w:t xml:space="preserve"> составил </w:t>
      </w:r>
      <w:r w:rsidR="00F85CD6" w:rsidRPr="00116315">
        <w:rPr>
          <w:rFonts w:asciiTheme="majorBidi" w:hAnsiTheme="majorBidi" w:cstheme="majorBidi"/>
          <w:sz w:val="28"/>
          <w:szCs w:val="28"/>
        </w:rPr>
        <w:t>5</w:t>
      </w:r>
      <w:r w:rsidR="00F26D87">
        <w:rPr>
          <w:rFonts w:asciiTheme="majorBidi" w:hAnsiTheme="majorBidi" w:cstheme="majorBidi"/>
          <w:sz w:val="28"/>
          <w:szCs w:val="28"/>
        </w:rPr>
        <w:t> </w:t>
      </w:r>
      <w:r w:rsidR="00F85CD6" w:rsidRPr="00116315">
        <w:rPr>
          <w:rFonts w:asciiTheme="majorBidi" w:hAnsiTheme="majorBidi" w:cstheme="majorBidi"/>
          <w:sz w:val="28"/>
          <w:szCs w:val="28"/>
        </w:rPr>
        <w:t>6</w:t>
      </w:r>
      <w:r w:rsidR="00F26D87">
        <w:rPr>
          <w:rFonts w:asciiTheme="majorBidi" w:hAnsiTheme="majorBidi" w:cstheme="majorBidi"/>
          <w:sz w:val="28"/>
          <w:szCs w:val="28"/>
        </w:rPr>
        <w:t>65,5</w:t>
      </w:r>
      <w:r w:rsidR="00C966BC" w:rsidRPr="00116315">
        <w:rPr>
          <w:rFonts w:asciiTheme="majorBidi" w:hAnsiTheme="majorBidi" w:cstheme="majorBidi"/>
          <w:sz w:val="28"/>
          <w:szCs w:val="28"/>
        </w:rPr>
        <w:t> </w:t>
      </w:r>
      <w:r w:rsidRPr="00116315">
        <w:rPr>
          <w:rFonts w:asciiTheme="majorBidi" w:hAnsiTheme="majorBidi" w:cstheme="majorBidi"/>
          <w:sz w:val="28"/>
          <w:szCs w:val="28"/>
        </w:rPr>
        <w:t>мл</w:t>
      </w:r>
      <w:r w:rsidR="00F85CD6" w:rsidRPr="00116315">
        <w:rPr>
          <w:rFonts w:asciiTheme="majorBidi" w:hAnsiTheme="majorBidi" w:cstheme="majorBidi"/>
          <w:sz w:val="28"/>
          <w:szCs w:val="28"/>
        </w:rPr>
        <w:t>рд</w:t>
      </w:r>
      <w:r w:rsidR="00C966BC" w:rsidRPr="00116315">
        <w:rPr>
          <w:rFonts w:asciiTheme="majorBidi" w:hAnsiTheme="majorBidi" w:cstheme="majorBidi"/>
          <w:sz w:val="28"/>
          <w:szCs w:val="28"/>
        </w:rPr>
        <w:t> </w:t>
      </w:r>
      <w:r w:rsidRPr="00116315">
        <w:rPr>
          <w:rFonts w:asciiTheme="majorBidi" w:hAnsiTheme="majorBidi" w:cstheme="majorBidi"/>
          <w:sz w:val="28"/>
          <w:szCs w:val="28"/>
        </w:rPr>
        <w:t>руб</w:t>
      </w:r>
      <w:r w:rsidR="00F85CD6" w:rsidRPr="00116315">
        <w:rPr>
          <w:rFonts w:asciiTheme="majorBidi" w:hAnsiTheme="majorBidi" w:cstheme="majorBidi"/>
          <w:sz w:val="28"/>
          <w:szCs w:val="28"/>
        </w:rPr>
        <w:t>лей</w:t>
      </w:r>
      <w:r w:rsidR="00F85CD6" w:rsidRPr="00F85CD6">
        <w:rPr>
          <w:rFonts w:asciiTheme="majorBidi" w:hAnsiTheme="majorBidi" w:cstheme="majorBidi"/>
          <w:sz w:val="28"/>
          <w:szCs w:val="28"/>
        </w:rPr>
        <w:t>.</w:t>
      </w:r>
    </w:p>
    <w:p w14:paraId="34A93C40" w14:textId="4B84B309" w:rsidR="00CE0672" w:rsidRPr="008924BC" w:rsidRDefault="00756E6E" w:rsidP="00F26D87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FF0000"/>
          <w:spacing w:val="-6"/>
          <w:sz w:val="28"/>
          <w:szCs w:val="28"/>
        </w:rPr>
      </w:pPr>
      <w:r w:rsidRPr="00B45C52">
        <w:rPr>
          <w:rFonts w:asciiTheme="majorBidi" w:hAnsiTheme="majorBidi" w:cstheme="majorBidi"/>
          <w:sz w:val="28"/>
          <w:szCs w:val="28"/>
        </w:rPr>
        <w:t xml:space="preserve">В структуре оборота организаций наибольшую долю занимают организации сферы оптовой и розничной торговли, ремонта автотранспортных средств </w:t>
      </w:r>
      <w:r w:rsidR="00733C98" w:rsidRPr="00B45C52">
        <w:rPr>
          <w:rFonts w:asciiTheme="majorBidi" w:hAnsiTheme="majorBidi" w:cstheme="majorBidi"/>
          <w:sz w:val="28"/>
          <w:szCs w:val="28"/>
        </w:rPr>
        <w:br/>
      </w:r>
      <w:r w:rsidRPr="00B45C52">
        <w:rPr>
          <w:rFonts w:asciiTheme="majorBidi" w:hAnsiTheme="majorBidi" w:cstheme="majorBidi"/>
          <w:sz w:val="28"/>
          <w:szCs w:val="28"/>
        </w:rPr>
        <w:t>и мотоциклов</w:t>
      </w:r>
      <w:r w:rsidR="000642A8" w:rsidRPr="00B45C52">
        <w:rPr>
          <w:rFonts w:asciiTheme="majorBidi" w:hAnsiTheme="majorBidi" w:cstheme="majorBidi"/>
          <w:sz w:val="28"/>
          <w:szCs w:val="28"/>
        </w:rPr>
        <w:t xml:space="preserve"> </w:t>
      </w:r>
      <w:r w:rsidR="009E3D33" w:rsidRPr="00B45C52">
        <w:rPr>
          <w:rFonts w:asciiTheme="majorBidi" w:hAnsiTheme="majorBidi" w:cstheme="majorBidi"/>
          <w:sz w:val="28"/>
          <w:szCs w:val="28"/>
        </w:rPr>
        <w:t>–</w:t>
      </w:r>
      <w:r w:rsidR="000642A8" w:rsidRPr="00B45C52">
        <w:rPr>
          <w:rFonts w:asciiTheme="majorBidi" w:hAnsiTheme="majorBidi" w:cstheme="majorBidi"/>
          <w:sz w:val="28"/>
          <w:szCs w:val="28"/>
        </w:rPr>
        <w:t xml:space="preserve"> </w:t>
      </w:r>
      <w:r w:rsidR="00F26D87">
        <w:rPr>
          <w:rFonts w:asciiTheme="majorBidi" w:hAnsiTheme="majorBidi" w:cstheme="majorBidi"/>
          <w:sz w:val="28"/>
          <w:szCs w:val="28"/>
        </w:rPr>
        <w:t>49,9</w:t>
      </w:r>
      <w:r w:rsidRPr="00B45C52">
        <w:rPr>
          <w:rFonts w:asciiTheme="majorBidi" w:hAnsiTheme="majorBidi" w:cstheme="majorBidi"/>
          <w:sz w:val="28"/>
          <w:szCs w:val="28"/>
        </w:rPr>
        <w:t xml:space="preserve">% </w:t>
      </w:r>
      <w:r w:rsidRPr="001D201A">
        <w:rPr>
          <w:rFonts w:asciiTheme="majorBidi" w:hAnsiTheme="majorBidi" w:cstheme="majorBidi"/>
          <w:sz w:val="28"/>
          <w:szCs w:val="28"/>
        </w:rPr>
        <w:t xml:space="preserve">и промышленности – </w:t>
      </w:r>
      <w:r w:rsidR="001D201A" w:rsidRPr="001D201A">
        <w:rPr>
          <w:rFonts w:asciiTheme="majorBidi" w:hAnsiTheme="majorBidi" w:cstheme="majorBidi"/>
          <w:sz w:val="28"/>
          <w:szCs w:val="28"/>
        </w:rPr>
        <w:t>26,</w:t>
      </w:r>
      <w:r w:rsidR="002A6659">
        <w:rPr>
          <w:rFonts w:asciiTheme="majorBidi" w:hAnsiTheme="majorBidi" w:cstheme="majorBidi"/>
          <w:sz w:val="28"/>
          <w:szCs w:val="28"/>
        </w:rPr>
        <w:t>0</w:t>
      </w:r>
      <w:r w:rsidRPr="001D201A">
        <w:rPr>
          <w:rFonts w:asciiTheme="majorBidi" w:hAnsiTheme="majorBidi" w:cstheme="majorBidi"/>
          <w:sz w:val="28"/>
          <w:szCs w:val="28"/>
        </w:rPr>
        <w:t xml:space="preserve">%. </w:t>
      </w:r>
    </w:p>
    <w:p w14:paraId="5B792E1A" w14:textId="77777777" w:rsidR="00E20393" w:rsidRPr="00783AFF" w:rsidRDefault="00036A0F" w:rsidP="00EF4043">
      <w:pPr>
        <w:spacing w:after="0" w:line="240" w:lineRule="auto"/>
        <w:ind w:firstLine="567"/>
        <w:jc w:val="both"/>
        <w:rPr>
          <w:rFonts w:asciiTheme="majorBidi" w:hAnsiTheme="majorBidi" w:cstheme="majorBidi"/>
          <w:spacing w:val="-6"/>
          <w:sz w:val="28"/>
          <w:szCs w:val="28"/>
        </w:rPr>
      </w:pPr>
      <w:r w:rsidRPr="000C68C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</w:p>
    <w:p w14:paraId="52EA86E4" w14:textId="77777777" w:rsidR="00C06EDC" w:rsidRPr="00783AFF" w:rsidRDefault="00B71CE6" w:rsidP="00966FCE">
      <w:pPr>
        <w:pStyle w:val="2"/>
        <w:ind w:right="0"/>
        <w:jc w:val="center"/>
        <w:rPr>
          <w:rFonts w:eastAsiaTheme="minorHAnsi"/>
          <w:bCs/>
          <w:lang w:eastAsia="en-US"/>
        </w:rPr>
      </w:pPr>
      <w:r w:rsidRPr="00783AFF">
        <w:rPr>
          <w:rFonts w:eastAsiaTheme="minorHAnsi"/>
          <w:bCs/>
          <w:lang w:eastAsia="en-US"/>
        </w:rPr>
        <w:t>ПРОМЫШЛЕННОСТЬ</w:t>
      </w:r>
    </w:p>
    <w:p w14:paraId="0A45C4CE" w14:textId="77777777" w:rsidR="00036A0F" w:rsidRPr="000C68C2" w:rsidRDefault="00036A0F" w:rsidP="00EF4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9BBC7F" w14:textId="2AF2B8E1" w:rsidR="00EF4043" w:rsidRPr="000C68C2" w:rsidRDefault="00EF4043" w:rsidP="00EF4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C2">
        <w:rPr>
          <w:rFonts w:ascii="Times New Roman" w:hAnsi="Times New Roman" w:cs="Times New Roman"/>
          <w:sz w:val="28"/>
          <w:szCs w:val="28"/>
        </w:rPr>
        <w:t>По итогам работы в первом полугодии 20</w:t>
      </w:r>
      <w:r w:rsidR="008924BC">
        <w:rPr>
          <w:rFonts w:ascii="Times New Roman" w:hAnsi="Times New Roman" w:cs="Times New Roman"/>
          <w:sz w:val="28"/>
          <w:szCs w:val="28"/>
        </w:rPr>
        <w:t>20</w:t>
      </w:r>
      <w:r w:rsidRPr="000C68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5217">
        <w:rPr>
          <w:rFonts w:ascii="Times New Roman" w:hAnsi="Times New Roman" w:cs="Times New Roman"/>
          <w:sz w:val="28"/>
          <w:szCs w:val="28"/>
        </w:rPr>
        <w:t xml:space="preserve"> </w:t>
      </w:r>
      <w:r w:rsidRPr="000C68C2">
        <w:rPr>
          <w:rFonts w:ascii="Times New Roman" w:hAnsi="Times New Roman" w:cs="Times New Roman"/>
          <w:sz w:val="28"/>
          <w:szCs w:val="28"/>
        </w:rPr>
        <w:t xml:space="preserve">в промышленности </w:t>
      </w:r>
      <w:r w:rsidR="00715217">
        <w:rPr>
          <w:rFonts w:ascii="Times New Roman" w:hAnsi="Times New Roman" w:cs="Times New Roman"/>
          <w:sz w:val="28"/>
          <w:szCs w:val="28"/>
        </w:rPr>
        <w:br/>
      </w:r>
      <w:r w:rsidRPr="000C68C2">
        <w:rPr>
          <w:rFonts w:ascii="Times New Roman" w:hAnsi="Times New Roman" w:cs="Times New Roman"/>
          <w:sz w:val="28"/>
          <w:szCs w:val="28"/>
        </w:rPr>
        <w:t>Санкт-Петербурга отгружено заказчикам продукции</w:t>
      </w:r>
      <w:r w:rsidR="00715217">
        <w:rPr>
          <w:rFonts w:ascii="Times New Roman" w:hAnsi="Times New Roman" w:cs="Times New Roman"/>
          <w:sz w:val="28"/>
          <w:szCs w:val="28"/>
        </w:rPr>
        <w:t xml:space="preserve"> </w:t>
      </w:r>
      <w:r w:rsidRPr="000C68C2">
        <w:rPr>
          <w:rFonts w:ascii="Times New Roman" w:hAnsi="Times New Roman" w:cs="Times New Roman"/>
          <w:sz w:val="28"/>
          <w:szCs w:val="28"/>
        </w:rPr>
        <w:t xml:space="preserve">на </w:t>
      </w:r>
      <w:r w:rsidRPr="00783AFF">
        <w:rPr>
          <w:rFonts w:ascii="Times New Roman" w:hAnsi="Times New Roman" w:cs="Times New Roman"/>
          <w:sz w:val="28"/>
          <w:szCs w:val="28"/>
        </w:rPr>
        <w:t>общую сумму 1</w:t>
      </w:r>
      <w:r w:rsidR="00F26D87">
        <w:rPr>
          <w:rFonts w:ascii="Times New Roman" w:hAnsi="Times New Roman" w:cs="Times New Roman"/>
          <w:sz w:val="28"/>
          <w:szCs w:val="28"/>
        </w:rPr>
        <w:t> </w:t>
      </w:r>
      <w:r w:rsidR="008924BC" w:rsidRPr="00783AFF">
        <w:rPr>
          <w:rFonts w:ascii="Times New Roman" w:hAnsi="Times New Roman" w:cs="Times New Roman"/>
          <w:sz w:val="28"/>
          <w:szCs w:val="28"/>
        </w:rPr>
        <w:t>1</w:t>
      </w:r>
      <w:r w:rsidR="00F26D87">
        <w:rPr>
          <w:rFonts w:ascii="Times New Roman" w:hAnsi="Times New Roman" w:cs="Times New Roman"/>
          <w:sz w:val="28"/>
          <w:szCs w:val="28"/>
        </w:rPr>
        <w:t>25,3</w:t>
      </w:r>
      <w:r w:rsidRPr="00783AFF">
        <w:rPr>
          <w:rFonts w:ascii="Times New Roman" w:hAnsi="Times New Roman" w:cs="Times New Roman"/>
          <w:sz w:val="28"/>
          <w:szCs w:val="28"/>
        </w:rPr>
        <w:t> млрд руб. (</w:t>
      </w:r>
      <w:r w:rsidR="000E6974" w:rsidRPr="00783AFF">
        <w:rPr>
          <w:rFonts w:ascii="Times New Roman" w:hAnsi="Times New Roman" w:cs="Times New Roman"/>
          <w:sz w:val="28"/>
          <w:szCs w:val="28"/>
        </w:rPr>
        <w:t>8</w:t>
      </w:r>
      <w:r w:rsidR="00F26D87">
        <w:rPr>
          <w:rFonts w:ascii="Times New Roman" w:hAnsi="Times New Roman" w:cs="Times New Roman"/>
          <w:sz w:val="28"/>
          <w:szCs w:val="28"/>
        </w:rPr>
        <w:t>6,5</w:t>
      </w:r>
      <w:r w:rsidRPr="00783AFF">
        <w:rPr>
          <w:rFonts w:ascii="Times New Roman" w:hAnsi="Times New Roman" w:cs="Times New Roman"/>
          <w:sz w:val="28"/>
          <w:szCs w:val="28"/>
        </w:rPr>
        <w:t xml:space="preserve">% к аналогичному периоду </w:t>
      </w:r>
      <w:r w:rsidRPr="000C68C2">
        <w:rPr>
          <w:rFonts w:ascii="Times New Roman" w:hAnsi="Times New Roman" w:cs="Times New Roman"/>
          <w:sz w:val="28"/>
          <w:szCs w:val="28"/>
        </w:rPr>
        <w:t xml:space="preserve">предыдущего года). Индекс промышленного производства составил </w:t>
      </w:r>
      <w:r w:rsidR="008924BC">
        <w:rPr>
          <w:rFonts w:ascii="Times New Roman" w:hAnsi="Times New Roman" w:cs="Times New Roman"/>
          <w:sz w:val="28"/>
          <w:szCs w:val="28"/>
        </w:rPr>
        <w:t>94,1</w:t>
      </w:r>
      <w:r w:rsidRPr="000C68C2">
        <w:rPr>
          <w:rFonts w:ascii="Times New Roman" w:hAnsi="Times New Roman" w:cs="Times New Roman"/>
          <w:sz w:val="28"/>
          <w:szCs w:val="28"/>
        </w:rPr>
        <w:t>% к январю-июню 201</w:t>
      </w:r>
      <w:r w:rsidR="008924BC">
        <w:rPr>
          <w:rFonts w:ascii="Times New Roman" w:hAnsi="Times New Roman" w:cs="Times New Roman"/>
          <w:sz w:val="28"/>
          <w:szCs w:val="28"/>
        </w:rPr>
        <w:t>9</w:t>
      </w:r>
      <w:r w:rsidRPr="000C68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E411053" w14:textId="212987BB" w:rsidR="00E41B8B" w:rsidRPr="00DE59F9" w:rsidRDefault="00E41B8B" w:rsidP="00966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AFF">
        <w:rPr>
          <w:rFonts w:ascii="Times New Roman" w:hAnsi="Times New Roman" w:cs="Times New Roman"/>
          <w:sz w:val="28"/>
          <w:szCs w:val="28"/>
        </w:rPr>
        <w:t>В обрабатывающих производствах</w:t>
      </w:r>
      <w:r w:rsidR="009637ED" w:rsidRPr="00783AFF">
        <w:rPr>
          <w:rFonts w:ascii="Times New Roman" w:hAnsi="Times New Roman" w:cs="Times New Roman"/>
          <w:sz w:val="28"/>
          <w:szCs w:val="28"/>
        </w:rPr>
        <w:t xml:space="preserve">, на долю которых приходится </w:t>
      </w:r>
      <w:r w:rsidR="009637ED" w:rsidRPr="00783AFF">
        <w:rPr>
          <w:rFonts w:ascii="Times New Roman" w:hAnsi="Times New Roman" w:cs="Times New Roman"/>
          <w:sz w:val="28"/>
          <w:szCs w:val="28"/>
        </w:rPr>
        <w:br/>
      </w:r>
      <w:r w:rsidR="00D51681" w:rsidRPr="00783AFF">
        <w:rPr>
          <w:rFonts w:ascii="Times New Roman" w:hAnsi="Times New Roman" w:cs="Times New Roman"/>
          <w:sz w:val="28"/>
          <w:szCs w:val="28"/>
        </w:rPr>
        <w:t>79,6</w:t>
      </w:r>
      <w:r w:rsidRPr="00783AFF">
        <w:rPr>
          <w:rFonts w:ascii="Times New Roman" w:hAnsi="Times New Roman" w:cs="Times New Roman"/>
          <w:sz w:val="28"/>
          <w:szCs w:val="28"/>
        </w:rPr>
        <w:t>% общего объема промышленн</w:t>
      </w:r>
      <w:r w:rsidR="00D60AA1">
        <w:rPr>
          <w:rFonts w:ascii="Times New Roman" w:hAnsi="Times New Roman" w:cs="Times New Roman"/>
          <w:sz w:val="28"/>
          <w:szCs w:val="28"/>
        </w:rPr>
        <w:t>ого производства</w:t>
      </w:r>
      <w:r w:rsidR="00FE6788">
        <w:rPr>
          <w:rFonts w:ascii="Times New Roman" w:hAnsi="Times New Roman" w:cs="Times New Roman"/>
          <w:sz w:val="28"/>
          <w:szCs w:val="28"/>
        </w:rPr>
        <w:t xml:space="preserve"> в Санкт-Петербурге, </w:t>
      </w:r>
      <w:r w:rsidRPr="00783AFF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</w:t>
      </w:r>
      <w:r w:rsidR="00E527F8">
        <w:rPr>
          <w:rFonts w:ascii="Times New Roman" w:hAnsi="Times New Roman" w:cs="Times New Roman"/>
          <w:sz w:val="28"/>
          <w:szCs w:val="28"/>
        </w:rPr>
        <w:t xml:space="preserve">в январе-июне 2020 года </w:t>
      </w:r>
      <w:r w:rsidRPr="00783AF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51681" w:rsidRPr="00783AFF">
        <w:rPr>
          <w:rFonts w:ascii="Times New Roman" w:hAnsi="Times New Roman" w:cs="Times New Roman"/>
          <w:sz w:val="28"/>
          <w:szCs w:val="28"/>
        </w:rPr>
        <w:t>93,8</w:t>
      </w:r>
      <w:r w:rsidRPr="00783AFF">
        <w:rPr>
          <w:rFonts w:ascii="Times New Roman" w:hAnsi="Times New Roman" w:cs="Times New Roman"/>
          <w:sz w:val="28"/>
          <w:szCs w:val="28"/>
        </w:rPr>
        <w:t>%</w:t>
      </w:r>
      <w:r w:rsidR="00E527F8">
        <w:rPr>
          <w:rFonts w:ascii="Times New Roman" w:hAnsi="Times New Roman" w:cs="Times New Roman"/>
          <w:sz w:val="28"/>
          <w:szCs w:val="28"/>
        </w:rPr>
        <w:t xml:space="preserve"> </w:t>
      </w:r>
      <w:r w:rsidR="00E527F8">
        <w:rPr>
          <w:rFonts w:ascii="Times New Roman" w:hAnsi="Times New Roman" w:cs="Times New Roman"/>
          <w:sz w:val="28"/>
          <w:szCs w:val="28"/>
        </w:rPr>
        <w:br/>
        <w:t>к ян</w:t>
      </w:r>
      <w:r w:rsidR="00545101">
        <w:rPr>
          <w:rFonts w:ascii="Times New Roman" w:hAnsi="Times New Roman" w:cs="Times New Roman"/>
          <w:sz w:val="28"/>
          <w:szCs w:val="28"/>
        </w:rPr>
        <w:t>в</w:t>
      </w:r>
      <w:r w:rsidR="00E527F8">
        <w:rPr>
          <w:rFonts w:ascii="Times New Roman" w:hAnsi="Times New Roman" w:cs="Times New Roman"/>
          <w:sz w:val="28"/>
          <w:szCs w:val="28"/>
        </w:rPr>
        <w:t>арю-июню 2019 года</w:t>
      </w:r>
      <w:r w:rsidRPr="00783AFF">
        <w:rPr>
          <w:rFonts w:ascii="Times New Roman" w:hAnsi="Times New Roman" w:cs="Times New Roman"/>
          <w:sz w:val="28"/>
          <w:szCs w:val="28"/>
        </w:rPr>
        <w:t>. Объем п</w:t>
      </w:r>
      <w:r w:rsidR="005432EE">
        <w:rPr>
          <w:rFonts w:ascii="Times New Roman" w:hAnsi="Times New Roman" w:cs="Times New Roman"/>
          <w:sz w:val="28"/>
          <w:szCs w:val="28"/>
        </w:rPr>
        <w:t>родукции, отгруженной за январь-</w:t>
      </w:r>
      <w:r w:rsidRPr="00783AFF">
        <w:rPr>
          <w:rFonts w:ascii="Times New Roman" w:hAnsi="Times New Roman" w:cs="Times New Roman"/>
          <w:sz w:val="28"/>
          <w:szCs w:val="28"/>
        </w:rPr>
        <w:t xml:space="preserve">июнь </w:t>
      </w:r>
      <w:r w:rsidR="00E527F8">
        <w:rPr>
          <w:rFonts w:ascii="Times New Roman" w:hAnsi="Times New Roman" w:cs="Times New Roman"/>
          <w:sz w:val="28"/>
          <w:szCs w:val="28"/>
        </w:rPr>
        <w:br/>
      </w:r>
      <w:r w:rsidRPr="00783AFF">
        <w:rPr>
          <w:rFonts w:ascii="Times New Roman" w:hAnsi="Times New Roman" w:cs="Times New Roman"/>
          <w:sz w:val="28"/>
          <w:szCs w:val="28"/>
        </w:rPr>
        <w:t>201</w:t>
      </w:r>
      <w:r w:rsidR="00AE6139" w:rsidRPr="00783AFF">
        <w:rPr>
          <w:rFonts w:ascii="Times New Roman" w:hAnsi="Times New Roman" w:cs="Times New Roman"/>
          <w:sz w:val="28"/>
          <w:szCs w:val="28"/>
        </w:rPr>
        <w:t>9</w:t>
      </w:r>
      <w:r w:rsidRPr="00783AFF">
        <w:rPr>
          <w:rFonts w:ascii="Times New Roman" w:hAnsi="Times New Roman" w:cs="Times New Roman"/>
          <w:sz w:val="28"/>
          <w:szCs w:val="28"/>
        </w:rPr>
        <w:t xml:space="preserve"> года по виду деятельности «Обрабатывающие производства», составил </w:t>
      </w:r>
      <w:r w:rsidR="00D51681" w:rsidRPr="00783AFF">
        <w:rPr>
          <w:rFonts w:ascii="Times New Roman" w:hAnsi="Times New Roman" w:cs="Times New Roman"/>
          <w:sz w:val="28"/>
          <w:szCs w:val="28"/>
        </w:rPr>
        <w:t>97</w:t>
      </w:r>
      <w:r w:rsidR="005A3A1A">
        <w:rPr>
          <w:rFonts w:ascii="Times New Roman" w:hAnsi="Times New Roman" w:cs="Times New Roman"/>
          <w:sz w:val="28"/>
          <w:szCs w:val="28"/>
        </w:rPr>
        <w:t>2,6</w:t>
      </w:r>
      <w:r w:rsidRPr="00783AFF">
        <w:rPr>
          <w:rFonts w:ascii="Times New Roman" w:hAnsi="Times New Roman" w:cs="Times New Roman"/>
          <w:sz w:val="28"/>
          <w:szCs w:val="28"/>
        </w:rPr>
        <w:t xml:space="preserve"> млрд руб. (</w:t>
      </w:r>
      <w:r w:rsidR="00D51681" w:rsidRPr="00783AFF">
        <w:rPr>
          <w:rFonts w:ascii="Times New Roman" w:hAnsi="Times New Roman" w:cs="Times New Roman"/>
          <w:sz w:val="28"/>
          <w:szCs w:val="28"/>
        </w:rPr>
        <w:t>8</w:t>
      </w:r>
      <w:r w:rsidR="005A3A1A">
        <w:rPr>
          <w:rFonts w:ascii="Times New Roman" w:hAnsi="Times New Roman" w:cs="Times New Roman"/>
          <w:sz w:val="28"/>
          <w:szCs w:val="28"/>
        </w:rPr>
        <w:t>5,0</w:t>
      </w:r>
      <w:r w:rsidRPr="00783AFF">
        <w:rPr>
          <w:rFonts w:ascii="Times New Roman" w:hAnsi="Times New Roman" w:cs="Times New Roman"/>
          <w:sz w:val="28"/>
          <w:szCs w:val="28"/>
        </w:rPr>
        <w:t>% к аналогичному периоду прошлого года).</w:t>
      </w:r>
    </w:p>
    <w:p w14:paraId="611C11D3" w14:textId="798463FF" w:rsidR="00541D97" w:rsidRPr="001B6049" w:rsidRDefault="00541D97" w:rsidP="0096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49">
        <w:rPr>
          <w:rFonts w:ascii="Times New Roman" w:hAnsi="Times New Roman" w:cs="Times New Roman"/>
          <w:sz w:val="28"/>
          <w:szCs w:val="28"/>
        </w:rPr>
        <w:t xml:space="preserve">В структуре отгруженных товаров обрабатывающих производств </w:t>
      </w:r>
      <w:r w:rsidR="002A6659">
        <w:rPr>
          <w:rFonts w:ascii="Times New Roman" w:hAnsi="Times New Roman" w:cs="Times New Roman"/>
          <w:sz w:val="28"/>
          <w:szCs w:val="28"/>
        </w:rPr>
        <w:t>34,5</w:t>
      </w:r>
      <w:r w:rsidRPr="001B6049">
        <w:rPr>
          <w:rFonts w:ascii="Times New Roman" w:hAnsi="Times New Roman" w:cs="Times New Roman"/>
          <w:sz w:val="28"/>
          <w:szCs w:val="28"/>
        </w:rPr>
        <w:t xml:space="preserve">% занимает продукция машиностроения: транспортные средства, машины </w:t>
      </w:r>
      <w:r w:rsidR="009D6B7D" w:rsidRPr="001B6049">
        <w:rPr>
          <w:rFonts w:ascii="Times New Roman" w:hAnsi="Times New Roman" w:cs="Times New Roman"/>
          <w:sz w:val="28"/>
          <w:szCs w:val="28"/>
        </w:rPr>
        <w:br/>
      </w:r>
      <w:r w:rsidRPr="001B6049">
        <w:rPr>
          <w:rFonts w:ascii="Times New Roman" w:hAnsi="Times New Roman" w:cs="Times New Roman"/>
          <w:sz w:val="28"/>
          <w:szCs w:val="28"/>
        </w:rPr>
        <w:t>и различные виды оборудования, 1</w:t>
      </w:r>
      <w:r w:rsidR="00EA7936" w:rsidRPr="001B6049">
        <w:rPr>
          <w:rFonts w:ascii="Times New Roman" w:hAnsi="Times New Roman" w:cs="Times New Roman"/>
          <w:sz w:val="28"/>
          <w:szCs w:val="28"/>
        </w:rPr>
        <w:t>6,5</w:t>
      </w:r>
      <w:r w:rsidRPr="001B6049">
        <w:rPr>
          <w:rFonts w:ascii="Times New Roman" w:hAnsi="Times New Roman" w:cs="Times New Roman"/>
          <w:sz w:val="28"/>
          <w:szCs w:val="28"/>
        </w:rPr>
        <w:t xml:space="preserve">% – пищевые продукты, напитки и табак, </w:t>
      </w:r>
      <w:r w:rsidR="00EA7936" w:rsidRPr="001B6049">
        <w:rPr>
          <w:rFonts w:ascii="Times New Roman" w:hAnsi="Times New Roman" w:cs="Times New Roman"/>
          <w:sz w:val="28"/>
          <w:szCs w:val="28"/>
        </w:rPr>
        <w:t>8,8</w:t>
      </w:r>
      <w:r w:rsidRPr="001B6049">
        <w:rPr>
          <w:rFonts w:ascii="Times New Roman" w:hAnsi="Times New Roman" w:cs="Times New Roman"/>
          <w:sz w:val="28"/>
          <w:szCs w:val="28"/>
        </w:rPr>
        <w:t>% – продукция металлургии и готовые металлические изделия.</w:t>
      </w:r>
    </w:p>
    <w:p w14:paraId="3A9C6539" w14:textId="77777777" w:rsidR="00E107B9" w:rsidRPr="000C68C2" w:rsidRDefault="00E107B9" w:rsidP="000666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8C2">
        <w:rPr>
          <w:rFonts w:ascii="Times New Roman" w:hAnsi="Times New Roman" w:cs="Times New Roman"/>
          <w:i/>
          <w:sz w:val="28"/>
          <w:szCs w:val="28"/>
        </w:rPr>
        <w:t>Машиностроение</w:t>
      </w:r>
    </w:p>
    <w:p w14:paraId="1CE40776" w14:textId="3D34A1B9" w:rsidR="00377A94" w:rsidRPr="000C68C2" w:rsidRDefault="00541D97" w:rsidP="00AA3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C2">
        <w:rPr>
          <w:rFonts w:ascii="Times New Roman" w:hAnsi="Times New Roman" w:cs="Times New Roman"/>
          <w:sz w:val="28"/>
          <w:szCs w:val="28"/>
        </w:rPr>
        <w:t xml:space="preserve">В машиностроении </w:t>
      </w:r>
      <w:r w:rsidR="00AA30A2">
        <w:rPr>
          <w:rFonts w:ascii="Times New Roman" w:hAnsi="Times New Roman" w:cs="Times New Roman"/>
          <w:sz w:val="28"/>
          <w:szCs w:val="28"/>
        </w:rPr>
        <w:t>значительно снизились объемы</w:t>
      </w:r>
      <w:r w:rsidRPr="000C68C2">
        <w:rPr>
          <w:rFonts w:ascii="Times New Roman" w:hAnsi="Times New Roman" w:cs="Times New Roman"/>
          <w:sz w:val="28"/>
          <w:szCs w:val="28"/>
        </w:rPr>
        <w:t xml:space="preserve"> </w:t>
      </w:r>
      <w:r w:rsidR="00377A94" w:rsidRPr="000C68C2">
        <w:rPr>
          <w:rFonts w:ascii="Times New Roman" w:hAnsi="Times New Roman" w:cs="Times New Roman"/>
          <w:sz w:val="28"/>
          <w:szCs w:val="28"/>
        </w:rPr>
        <w:t>производств</w:t>
      </w:r>
      <w:r w:rsidR="00AA30A2">
        <w:rPr>
          <w:rFonts w:ascii="Times New Roman" w:hAnsi="Times New Roman" w:cs="Times New Roman"/>
          <w:sz w:val="28"/>
          <w:szCs w:val="28"/>
        </w:rPr>
        <w:t>а</w:t>
      </w:r>
      <w:r w:rsidR="00377A94" w:rsidRPr="000C68C2">
        <w:rPr>
          <w:rFonts w:ascii="Times New Roman" w:hAnsi="Times New Roman" w:cs="Times New Roman"/>
          <w:sz w:val="28"/>
          <w:szCs w:val="28"/>
        </w:rPr>
        <w:t xml:space="preserve"> </w:t>
      </w:r>
      <w:r w:rsidR="00AA30A2">
        <w:rPr>
          <w:rFonts w:ascii="Times New Roman" w:hAnsi="Times New Roman" w:cs="Times New Roman"/>
          <w:sz w:val="28"/>
          <w:szCs w:val="28"/>
        </w:rPr>
        <w:t xml:space="preserve">автотранспортных средств, прицепов и полуприцепов </w:t>
      </w:r>
      <w:r w:rsidR="00377A94" w:rsidRPr="000C68C2">
        <w:rPr>
          <w:rFonts w:ascii="Times New Roman" w:hAnsi="Times New Roman" w:cs="Times New Roman"/>
          <w:sz w:val="28"/>
          <w:szCs w:val="28"/>
        </w:rPr>
        <w:t xml:space="preserve">(ИПП – </w:t>
      </w:r>
      <w:r w:rsidR="00AA30A2">
        <w:rPr>
          <w:rFonts w:ascii="Times New Roman" w:hAnsi="Times New Roman" w:cs="Times New Roman"/>
          <w:sz w:val="28"/>
          <w:szCs w:val="28"/>
        </w:rPr>
        <w:t>74,4</w:t>
      </w:r>
      <w:r w:rsidR="00377A94" w:rsidRPr="000C68C2">
        <w:rPr>
          <w:rFonts w:ascii="Times New Roman" w:hAnsi="Times New Roman" w:cs="Times New Roman"/>
          <w:sz w:val="28"/>
          <w:szCs w:val="28"/>
        </w:rPr>
        <w:t xml:space="preserve">%), </w:t>
      </w:r>
      <w:r w:rsidR="000B6F1F">
        <w:rPr>
          <w:rFonts w:ascii="Times New Roman" w:hAnsi="Times New Roman" w:cs="Times New Roman"/>
          <w:sz w:val="28"/>
          <w:szCs w:val="28"/>
        </w:rPr>
        <w:br/>
      </w:r>
      <w:r w:rsidR="00377A94" w:rsidRPr="000C68C2">
        <w:rPr>
          <w:rFonts w:ascii="Times New Roman" w:hAnsi="Times New Roman" w:cs="Times New Roman"/>
          <w:sz w:val="28"/>
          <w:szCs w:val="28"/>
        </w:rPr>
        <w:t xml:space="preserve">что в </w:t>
      </w:r>
      <w:r w:rsidR="00AA30A2">
        <w:rPr>
          <w:rFonts w:ascii="Times New Roman" w:hAnsi="Times New Roman" w:cs="Times New Roman"/>
          <w:sz w:val="28"/>
          <w:szCs w:val="28"/>
        </w:rPr>
        <w:t xml:space="preserve">основном связано с уменьшением выпуска легковых автомобилей </w:t>
      </w:r>
      <w:r w:rsidR="000B6F1F">
        <w:rPr>
          <w:rFonts w:ascii="Times New Roman" w:hAnsi="Times New Roman" w:cs="Times New Roman"/>
          <w:sz w:val="28"/>
          <w:szCs w:val="28"/>
        </w:rPr>
        <w:br/>
      </w:r>
      <w:r w:rsidR="00AA30A2">
        <w:rPr>
          <w:rFonts w:ascii="Times New Roman" w:hAnsi="Times New Roman" w:cs="Times New Roman"/>
          <w:sz w:val="28"/>
          <w:szCs w:val="28"/>
        </w:rPr>
        <w:t xml:space="preserve">(на 27,4%). </w:t>
      </w:r>
      <w:r w:rsidR="00AA30A2" w:rsidRPr="00AA30A2">
        <w:rPr>
          <w:rFonts w:ascii="Times New Roman" w:hAnsi="Times New Roman" w:cs="Times New Roman"/>
          <w:sz w:val="28"/>
          <w:szCs w:val="28"/>
        </w:rPr>
        <w:t>Всего за январь-июнь 2020 года в Санкт-Петербурге произведено 137,3 тыс. легковых автомобилей.</w:t>
      </w:r>
    </w:p>
    <w:p w14:paraId="1643BD56" w14:textId="33A721D4" w:rsidR="00AA30A2" w:rsidRDefault="00AA30A2" w:rsidP="00AA3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 xml:space="preserve">На итогах работы в январе-июне 2020 года в производстве электрического оборудования (ИПП – 81,0%) отрицательно сказалось снижение по сравнению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AA30A2">
        <w:rPr>
          <w:rFonts w:ascii="Times New Roman" w:hAnsi="Times New Roman" w:cs="Times New Roman"/>
          <w:sz w:val="28"/>
          <w:szCs w:val="28"/>
        </w:rPr>
        <w:t xml:space="preserve">с январем-июнем прошлого года производства электрических ламп </w:t>
      </w:r>
      <w:r>
        <w:rPr>
          <w:rFonts w:ascii="Times New Roman" w:hAnsi="Times New Roman" w:cs="Times New Roman"/>
          <w:sz w:val="28"/>
          <w:szCs w:val="28"/>
        </w:rPr>
        <w:br/>
      </w:r>
      <w:r w:rsidRPr="00AA30A2">
        <w:rPr>
          <w:rFonts w:ascii="Times New Roman" w:hAnsi="Times New Roman" w:cs="Times New Roman"/>
          <w:sz w:val="28"/>
          <w:szCs w:val="28"/>
        </w:rPr>
        <w:t xml:space="preserve">и осветительного оборудования (на 57,5%), электродвигателей, генераторов, </w:t>
      </w:r>
      <w:r w:rsidRPr="00AA30A2">
        <w:rPr>
          <w:rFonts w:ascii="Times New Roman" w:hAnsi="Times New Roman" w:cs="Times New Roman"/>
          <w:sz w:val="28"/>
          <w:szCs w:val="28"/>
        </w:rPr>
        <w:lastRenderedPageBreak/>
        <w:t>трансформаторов и распределительных устройств, а также контрольно-измерительной аппаратуры (на 36,4%), бытовых приборов (на 29,6%)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BE">
        <w:rPr>
          <w:rFonts w:ascii="Times New Roman" w:hAnsi="Times New Roman" w:cs="Times New Roman"/>
          <w:sz w:val="28"/>
          <w:szCs w:val="28"/>
        </w:rPr>
        <w:br/>
      </w:r>
      <w:r w:rsidRPr="00AA30A2">
        <w:rPr>
          <w:rFonts w:ascii="Times New Roman" w:hAnsi="Times New Roman" w:cs="Times New Roman"/>
          <w:sz w:val="28"/>
          <w:szCs w:val="28"/>
        </w:rPr>
        <w:t>В то</w:t>
      </w:r>
      <w:r w:rsidR="007C1ABE">
        <w:rPr>
          <w:rFonts w:ascii="Times New Roman" w:hAnsi="Times New Roman" w:cs="Times New Roman"/>
          <w:sz w:val="28"/>
          <w:szCs w:val="28"/>
        </w:rPr>
        <w:t xml:space="preserve"> </w:t>
      </w:r>
      <w:r w:rsidRPr="00AA30A2">
        <w:rPr>
          <w:rFonts w:ascii="Times New Roman" w:hAnsi="Times New Roman" w:cs="Times New Roman"/>
          <w:sz w:val="28"/>
          <w:szCs w:val="28"/>
        </w:rPr>
        <w:t>же время отмечается увелич</w:t>
      </w:r>
      <w:r w:rsidR="007C1ABE">
        <w:rPr>
          <w:rFonts w:ascii="Times New Roman" w:hAnsi="Times New Roman" w:cs="Times New Roman"/>
          <w:sz w:val="28"/>
          <w:szCs w:val="28"/>
        </w:rPr>
        <w:t xml:space="preserve">ение производства электрических </w:t>
      </w:r>
      <w:r w:rsidRPr="00AA30A2">
        <w:rPr>
          <w:rFonts w:ascii="Times New Roman" w:hAnsi="Times New Roman" w:cs="Times New Roman"/>
          <w:sz w:val="28"/>
          <w:szCs w:val="28"/>
        </w:rPr>
        <w:t>аккумуляторов и аккумуляторных батарей (на 35,2%), производства прочего электрического оборудования (на 32,6%).</w:t>
      </w:r>
    </w:p>
    <w:p w14:paraId="021E5F1D" w14:textId="7539ECDC" w:rsidR="00AA30A2" w:rsidRPr="00AA30A2" w:rsidRDefault="00AA30A2" w:rsidP="00AA3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 xml:space="preserve">Отрицательное влияние на общие итоги в производстве машин </w:t>
      </w:r>
      <w:r w:rsidR="004204FA">
        <w:rPr>
          <w:rFonts w:ascii="Times New Roman" w:hAnsi="Times New Roman" w:cs="Times New Roman"/>
          <w:sz w:val="28"/>
          <w:szCs w:val="28"/>
        </w:rPr>
        <w:br/>
      </w:r>
      <w:r w:rsidRPr="00AA30A2">
        <w:rPr>
          <w:rFonts w:ascii="Times New Roman" w:hAnsi="Times New Roman" w:cs="Times New Roman"/>
          <w:sz w:val="28"/>
          <w:szCs w:val="28"/>
        </w:rPr>
        <w:t xml:space="preserve">и оборудования, не включенных в другие группировки  (ИПП – 85,2%) во многом оказало снижение производства машин и оборудования общего назначения </w:t>
      </w:r>
      <w:r w:rsidR="004204FA">
        <w:rPr>
          <w:rFonts w:ascii="Times New Roman" w:hAnsi="Times New Roman" w:cs="Times New Roman"/>
          <w:sz w:val="28"/>
          <w:szCs w:val="28"/>
        </w:rPr>
        <w:br/>
      </w:r>
      <w:r w:rsidRPr="00AA30A2">
        <w:rPr>
          <w:rFonts w:ascii="Times New Roman" w:hAnsi="Times New Roman" w:cs="Times New Roman"/>
          <w:sz w:val="28"/>
          <w:szCs w:val="28"/>
        </w:rPr>
        <w:t xml:space="preserve">(на 33,4%), производства машин и оборудования для сельского и лесного хозяйства (на 15,4%), производства прочих машин и оборудования общего назначения (на 15,1%). В то же время в отрасли увеличился объем производства прочих машин специального назначения (на 6,2%), станков, машин </w:t>
      </w:r>
      <w:r w:rsidR="004204FA">
        <w:rPr>
          <w:rFonts w:ascii="Times New Roman" w:hAnsi="Times New Roman" w:cs="Times New Roman"/>
          <w:sz w:val="28"/>
          <w:szCs w:val="28"/>
        </w:rPr>
        <w:br/>
      </w:r>
      <w:r w:rsidRPr="00AA30A2">
        <w:rPr>
          <w:rFonts w:ascii="Times New Roman" w:hAnsi="Times New Roman" w:cs="Times New Roman"/>
          <w:sz w:val="28"/>
          <w:szCs w:val="28"/>
        </w:rPr>
        <w:t>и оборудования для обработки металлов и прочих твердых материалов (на 3,3%).</w:t>
      </w:r>
    </w:p>
    <w:p w14:paraId="3499F07F" w14:textId="0231F4D8" w:rsidR="0062607F" w:rsidRPr="004204FA" w:rsidRDefault="004204FA" w:rsidP="0042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4FA">
        <w:rPr>
          <w:rFonts w:ascii="Times New Roman" w:hAnsi="Times New Roman" w:cs="Times New Roman"/>
          <w:sz w:val="28"/>
          <w:szCs w:val="28"/>
        </w:rPr>
        <w:t>На итогах работы в январе-июне 2020 года в производстве прочих транспортных средств и оборудования (ИПП – 83,5%) отрицательно сказалось снижение  производства прочих транспортных средств (на 38,9%) и летательных аппаратов (на 29,0%). В то же время отмечено увеличение производства железнодорожных локомотивов и подвижного состава (на 26,5%).</w:t>
      </w:r>
    </w:p>
    <w:p w14:paraId="4311E234" w14:textId="16D30661" w:rsidR="004204FA" w:rsidRPr="004204FA" w:rsidRDefault="004204FA" w:rsidP="0042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4FA">
        <w:rPr>
          <w:rFonts w:ascii="Times New Roman" w:hAnsi="Times New Roman" w:cs="Times New Roman"/>
          <w:sz w:val="28"/>
          <w:szCs w:val="28"/>
        </w:rPr>
        <w:t xml:space="preserve">В производстве компьютеров, электронных и оптических изделий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204FA">
        <w:rPr>
          <w:rFonts w:ascii="Times New Roman" w:hAnsi="Times New Roman" w:cs="Times New Roman"/>
          <w:sz w:val="28"/>
          <w:szCs w:val="28"/>
        </w:rPr>
        <w:t>(ИПП – 86,1%) заметно снизилось производство коммуникационного</w:t>
      </w:r>
      <w:r w:rsidR="00715217">
        <w:rPr>
          <w:rFonts w:ascii="Times New Roman" w:hAnsi="Times New Roman" w:cs="Times New Roman"/>
          <w:sz w:val="28"/>
          <w:szCs w:val="28"/>
        </w:rPr>
        <w:t xml:space="preserve"> </w:t>
      </w:r>
      <w:r w:rsidRPr="004204FA">
        <w:rPr>
          <w:rFonts w:ascii="Times New Roman" w:hAnsi="Times New Roman" w:cs="Times New Roman"/>
          <w:sz w:val="28"/>
          <w:szCs w:val="28"/>
        </w:rPr>
        <w:t>оборудования (на 26,9%), производство бытовой электроники (на 25,5%), контрольно-измерительных и навигационных приборов и аппаратов (на 20,1%).</w:t>
      </w:r>
    </w:p>
    <w:p w14:paraId="31661615" w14:textId="4970CBB0" w:rsidR="00F37F02" w:rsidRDefault="004204FA" w:rsidP="0042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4FA">
        <w:rPr>
          <w:rFonts w:ascii="Times New Roman" w:hAnsi="Times New Roman" w:cs="Times New Roman"/>
          <w:sz w:val="28"/>
          <w:szCs w:val="28"/>
        </w:rPr>
        <w:t xml:space="preserve">При этом в отрасли значительно выросли объемы производства оптических приборов, фото- и кинооборудования (на 102,2%), облучающего </w:t>
      </w:r>
      <w:r w:rsidRPr="004204FA">
        <w:rPr>
          <w:rFonts w:ascii="Times New Roman" w:hAnsi="Times New Roman" w:cs="Times New Roman"/>
          <w:sz w:val="28"/>
          <w:szCs w:val="28"/>
        </w:rPr>
        <w:br/>
        <w:t>и электротерапевтического оборудования, применяемого в медицинских целях (на 17,8%), компьютеров и периферийного оборудования (на 11,6%).</w:t>
      </w:r>
    </w:p>
    <w:p w14:paraId="440185C2" w14:textId="77777777" w:rsidR="00715217" w:rsidRPr="004204FA" w:rsidRDefault="00715217" w:rsidP="004204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69FFB8" w14:textId="77777777" w:rsidR="00EF0AB0" w:rsidRPr="00AA30A2" w:rsidRDefault="00EF0AB0" w:rsidP="00966F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0A2">
        <w:rPr>
          <w:rFonts w:ascii="Times New Roman" w:hAnsi="Times New Roman" w:cs="Times New Roman"/>
          <w:i/>
          <w:sz w:val="28"/>
          <w:szCs w:val="28"/>
        </w:rPr>
        <w:t>Пищевые продукты, напитки и табак</w:t>
      </w:r>
    </w:p>
    <w:p w14:paraId="7FCF0F77" w14:textId="43A21976" w:rsidR="00FE437F" w:rsidRPr="00FE437F" w:rsidRDefault="00E51E9B" w:rsidP="00FE4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37F">
        <w:rPr>
          <w:rFonts w:ascii="Times New Roman" w:hAnsi="Times New Roman" w:cs="Times New Roman"/>
          <w:sz w:val="28"/>
          <w:szCs w:val="28"/>
        </w:rPr>
        <w:t xml:space="preserve">ИПП в производстве пищевых продуктов составил </w:t>
      </w:r>
      <w:r w:rsidR="00FE437F" w:rsidRPr="00FE437F">
        <w:rPr>
          <w:rFonts w:ascii="Times New Roman" w:hAnsi="Times New Roman" w:cs="Times New Roman"/>
          <w:sz w:val="28"/>
          <w:szCs w:val="28"/>
        </w:rPr>
        <w:t>104,7</w:t>
      </w:r>
      <w:r w:rsidRPr="00FE437F">
        <w:rPr>
          <w:rFonts w:ascii="Times New Roman" w:hAnsi="Times New Roman" w:cs="Times New Roman"/>
          <w:sz w:val="28"/>
          <w:szCs w:val="28"/>
        </w:rPr>
        <w:t xml:space="preserve">%, что обусловлено </w:t>
      </w:r>
      <w:r w:rsidR="00FE437F" w:rsidRPr="00FE437F">
        <w:rPr>
          <w:rFonts w:ascii="Times New Roman" w:hAnsi="Times New Roman" w:cs="Times New Roman"/>
          <w:sz w:val="28"/>
          <w:szCs w:val="28"/>
        </w:rPr>
        <w:t>увеличением</w:t>
      </w:r>
      <w:r w:rsidRPr="00FE437F">
        <w:rPr>
          <w:rFonts w:ascii="Times New Roman" w:hAnsi="Times New Roman" w:cs="Times New Roman"/>
          <w:sz w:val="28"/>
          <w:szCs w:val="28"/>
        </w:rPr>
        <w:t xml:space="preserve"> выпуска </w:t>
      </w:r>
      <w:r w:rsidR="00FE437F" w:rsidRPr="00FE437F">
        <w:rPr>
          <w:rFonts w:ascii="Times New Roman" w:hAnsi="Times New Roman" w:cs="Times New Roman"/>
          <w:sz w:val="28"/>
          <w:szCs w:val="28"/>
        </w:rPr>
        <w:t xml:space="preserve">пищевых продуктов из муки, крупы и крахмала (на 17,3%), мясных полуфабрикатов (на 6,9%), переработанной и консервированной рыбы (на 5,6%), колбасных изделий (на 3,2%). При этом наблюдается снижение выпуска плодоовощных консервов (на 8,2%), сыра и творога (7,7%), муки </w:t>
      </w:r>
      <w:r w:rsidR="00FE437F" w:rsidRPr="00FE437F">
        <w:rPr>
          <w:rFonts w:ascii="Times New Roman" w:hAnsi="Times New Roman" w:cs="Times New Roman"/>
          <w:sz w:val="28"/>
          <w:szCs w:val="28"/>
        </w:rPr>
        <w:br/>
        <w:t>(на 7,6%), сухих каш (на 6,7%), кондитерских изделий (на 4,8%), жидкого обработанного молока (на 4,5%).</w:t>
      </w:r>
    </w:p>
    <w:p w14:paraId="1DF690D1" w14:textId="0669B3F7" w:rsidR="00AE4257" w:rsidRPr="00FE437F" w:rsidRDefault="00EF0AB0" w:rsidP="00FE4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37F">
        <w:rPr>
          <w:rFonts w:ascii="Times New Roman" w:hAnsi="Times New Roman" w:cs="Times New Roman"/>
          <w:sz w:val="28"/>
          <w:szCs w:val="28"/>
        </w:rPr>
        <w:t xml:space="preserve">В производстве напитков </w:t>
      </w:r>
      <w:r w:rsidR="00EF4043" w:rsidRPr="00FE437F">
        <w:rPr>
          <w:rFonts w:ascii="Times New Roman" w:hAnsi="Times New Roman" w:cs="Times New Roman"/>
          <w:sz w:val="28"/>
          <w:szCs w:val="28"/>
        </w:rPr>
        <w:t xml:space="preserve">(ИПП – </w:t>
      </w:r>
      <w:r w:rsidR="00FE437F" w:rsidRPr="00FE437F">
        <w:rPr>
          <w:rFonts w:ascii="Times New Roman" w:hAnsi="Times New Roman" w:cs="Times New Roman"/>
          <w:sz w:val="28"/>
          <w:szCs w:val="28"/>
        </w:rPr>
        <w:t>98,0</w:t>
      </w:r>
      <w:r w:rsidR="00EF4043" w:rsidRPr="00FE437F">
        <w:rPr>
          <w:rFonts w:ascii="Times New Roman" w:hAnsi="Times New Roman" w:cs="Times New Roman"/>
          <w:sz w:val="28"/>
          <w:szCs w:val="28"/>
        </w:rPr>
        <w:t xml:space="preserve">%) </w:t>
      </w:r>
      <w:r w:rsidR="00FE437F" w:rsidRPr="00FE437F">
        <w:rPr>
          <w:rFonts w:ascii="Times New Roman" w:hAnsi="Times New Roman" w:cs="Times New Roman"/>
          <w:sz w:val="28"/>
          <w:szCs w:val="28"/>
        </w:rPr>
        <w:t>снизились</w:t>
      </w:r>
      <w:r w:rsidR="00AE4257" w:rsidRPr="00FE437F">
        <w:rPr>
          <w:rFonts w:ascii="Times New Roman" w:hAnsi="Times New Roman" w:cs="Times New Roman"/>
          <w:sz w:val="28"/>
          <w:szCs w:val="28"/>
        </w:rPr>
        <w:t xml:space="preserve"> объемы </w:t>
      </w:r>
      <w:r w:rsidR="00FE437F" w:rsidRPr="00FE437F">
        <w:rPr>
          <w:rFonts w:ascii="Times New Roman" w:hAnsi="Times New Roman" w:cs="Times New Roman"/>
          <w:sz w:val="28"/>
          <w:szCs w:val="28"/>
        </w:rPr>
        <w:t xml:space="preserve">производства пива (на 5,8%), </w:t>
      </w:r>
      <w:r w:rsidR="00AE4257" w:rsidRPr="00FE437F">
        <w:rPr>
          <w:rFonts w:ascii="Times New Roman" w:hAnsi="Times New Roman" w:cs="Times New Roman"/>
          <w:sz w:val="28"/>
          <w:szCs w:val="28"/>
        </w:rPr>
        <w:t xml:space="preserve">выпуска </w:t>
      </w:r>
      <w:r w:rsidR="00FE437F" w:rsidRPr="00FE437F">
        <w:rPr>
          <w:rFonts w:ascii="Times New Roman" w:hAnsi="Times New Roman" w:cs="Times New Roman"/>
          <w:sz w:val="28"/>
          <w:szCs w:val="28"/>
        </w:rPr>
        <w:t>безалкогольных напитков (на 3,2%).</w:t>
      </w:r>
    </w:p>
    <w:p w14:paraId="171E5508" w14:textId="1A86B572" w:rsidR="00EF4043" w:rsidRPr="00FE437F" w:rsidRDefault="00AE4257" w:rsidP="0096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37F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FE437F" w:rsidRPr="00FE437F">
        <w:rPr>
          <w:rFonts w:ascii="Times New Roman" w:hAnsi="Times New Roman" w:cs="Times New Roman"/>
          <w:sz w:val="28"/>
          <w:szCs w:val="28"/>
        </w:rPr>
        <w:t>прирост</w:t>
      </w:r>
      <w:r w:rsidRPr="00FE437F">
        <w:rPr>
          <w:rFonts w:ascii="Times New Roman" w:hAnsi="Times New Roman" w:cs="Times New Roman"/>
          <w:sz w:val="28"/>
          <w:szCs w:val="28"/>
        </w:rPr>
        <w:t xml:space="preserve"> объемов</w:t>
      </w:r>
      <w:r w:rsidR="00EF4043" w:rsidRPr="00FE437F">
        <w:rPr>
          <w:rFonts w:ascii="Times New Roman" w:hAnsi="Times New Roman" w:cs="Times New Roman"/>
          <w:sz w:val="28"/>
          <w:szCs w:val="28"/>
        </w:rPr>
        <w:t xml:space="preserve"> производства табачных изделий </w:t>
      </w:r>
      <w:r w:rsidR="006811CC" w:rsidRPr="00FE437F">
        <w:rPr>
          <w:rFonts w:ascii="Times New Roman" w:hAnsi="Times New Roman" w:cs="Times New Roman"/>
          <w:sz w:val="28"/>
          <w:szCs w:val="28"/>
        </w:rPr>
        <w:br/>
      </w:r>
      <w:r w:rsidRPr="00FE437F">
        <w:rPr>
          <w:rFonts w:ascii="Times New Roman" w:hAnsi="Times New Roman" w:cs="Times New Roman"/>
          <w:sz w:val="28"/>
          <w:szCs w:val="28"/>
        </w:rPr>
        <w:t xml:space="preserve">(ИПП – </w:t>
      </w:r>
      <w:r w:rsidR="00FE437F" w:rsidRPr="00FE437F">
        <w:rPr>
          <w:rFonts w:ascii="Times New Roman" w:hAnsi="Times New Roman" w:cs="Times New Roman"/>
          <w:sz w:val="28"/>
          <w:szCs w:val="28"/>
        </w:rPr>
        <w:t>100,9</w:t>
      </w:r>
      <w:r w:rsidR="00EF4043" w:rsidRPr="00FE437F">
        <w:rPr>
          <w:rFonts w:ascii="Times New Roman" w:hAnsi="Times New Roman" w:cs="Times New Roman"/>
          <w:sz w:val="28"/>
          <w:szCs w:val="28"/>
        </w:rPr>
        <w:t>%).</w:t>
      </w:r>
    </w:p>
    <w:p w14:paraId="01B0C2BE" w14:textId="77777777" w:rsidR="0081288B" w:rsidRPr="00FE437F" w:rsidRDefault="0081288B" w:rsidP="0096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2B944A" w14:textId="77777777" w:rsidR="005B3F8E" w:rsidRPr="00FE437F" w:rsidRDefault="005B3F8E" w:rsidP="00966F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37F">
        <w:rPr>
          <w:rFonts w:ascii="Times New Roman" w:hAnsi="Times New Roman" w:cs="Times New Roman"/>
          <w:i/>
          <w:sz w:val="28"/>
          <w:szCs w:val="28"/>
        </w:rPr>
        <w:t>Продукция металлургии и готовые металлические изделия</w:t>
      </w:r>
    </w:p>
    <w:p w14:paraId="23E4CD9A" w14:textId="6B90F26C" w:rsidR="00AE4257" w:rsidRPr="00FE437F" w:rsidRDefault="00FE437F" w:rsidP="00FE4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37F">
        <w:rPr>
          <w:rFonts w:ascii="Times New Roman" w:hAnsi="Times New Roman" w:cs="Times New Roman"/>
          <w:sz w:val="28"/>
          <w:szCs w:val="28"/>
        </w:rPr>
        <w:t>Снижени</w:t>
      </w:r>
      <w:r w:rsidR="00AE4257" w:rsidRPr="00FE437F">
        <w:rPr>
          <w:rFonts w:ascii="Times New Roman" w:hAnsi="Times New Roman" w:cs="Times New Roman"/>
          <w:sz w:val="28"/>
          <w:szCs w:val="28"/>
        </w:rPr>
        <w:t xml:space="preserve">е выпуска продукции в металлургическом производстве </w:t>
      </w:r>
      <w:r w:rsidR="009D6B7D" w:rsidRPr="00FE437F">
        <w:rPr>
          <w:rFonts w:ascii="Times New Roman" w:hAnsi="Times New Roman" w:cs="Times New Roman"/>
          <w:sz w:val="28"/>
          <w:szCs w:val="28"/>
        </w:rPr>
        <w:br/>
      </w:r>
      <w:r w:rsidR="00AE4257" w:rsidRPr="00FE437F">
        <w:rPr>
          <w:rFonts w:ascii="Times New Roman" w:hAnsi="Times New Roman" w:cs="Times New Roman"/>
          <w:sz w:val="28"/>
          <w:szCs w:val="28"/>
        </w:rPr>
        <w:t>(ИПП –</w:t>
      </w:r>
      <w:r w:rsidRPr="00FE437F">
        <w:rPr>
          <w:rFonts w:ascii="Times New Roman" w:hAnsi="Times New Roman" w:cs="Times New Roman"/>
          <w:sz w:val="28"/>
          <w:szCs w:val="28"/>
        </w:rPr>
        <w:t>95,3</w:t>
      </w:r>
      <w:r w:rsidR="00AE4257" w:rsidRPr="00FE437F">
        <w:rPr>
          <w:rFonts w:ascii="Times New Roman" w:hAnsi="Times New Roman" w:cs="Times New Roman"/>
          <w:sz w:val="28"/>
          <w:szCs w:val="28"/>
        </w:rPr>
        <w:t xml:space="preserve">%) обеспечено за счет </w:t>
      </w:r>
      <w:r w:rsidRPr="00FE437F">
        <w:rPr>
          <w:rFonts w:ascii="Times New Roman" w:hAnsi="Times New Roman" w:cs="Times New Roman"/>
          <w:sz w:val="28"/>
          <w:szCs w:val="28"/>
        </w:rPr>
        <w:t xml:space="preserve">снижения производства </w:t>
      </w:r>
      <w:r w:rsidR="00AE4257" w:rsidRPr="00FE437F">
        <w:rPr>
          <w:rFonts w:ascii="Times New Roman" w:hAnsi="Times New Roman" w:cs="Times New Roman"/>
          <w:sz w:val="28"/>
          <w:szCs w:val="28"/>
        </w:rPr>
        <w:t xml:space="preserve"> </w:t>
      </w:r>
      <w:r w:rsidRPr="00FE437F">
        <w:rPr>
          <w:rFonts w:ascii="Times New Roman" w:hAnsi="Times New Roman" w:cs="Times New Roman"/>
          <w:sz w:val="28"/>
          <w:szCs w:val="28"/>
        </w:rPr>
        <w:t xml:space="preserve">стальных труб, полых профилей и фитингов (на 45,4%), прочих стальных изделий первичной </w:t>
      </w:r>
      <w:r w:rsidRPr="00FE437F">
        <w:rPr>
          <w:rFonts w:ascii="Times New Roman" w:hAnsi="Times New Roman" w:cs="Times New Roman"/>
          <w:sz w:val="28"/>
          <w:szCs w:val="28"/>
        </w:rPr>
        <w:lastRenderedPageBreak/>
        <w:t>обработки (на 25,5%), основных драгоценных металлов и прочих цветных металлов (на 17,9%) и чугуна, стали и ферросплавов (на 16,8%).</w:t>
      </w:r>
    </w:p>
    <w:p w14:paraId="579DD320" w14:textId="54559259" w:rsidR="00710654" w:rsidRPr="00FE437F" w:rsidRDefault="00FE437F" w:rsidP="00FE4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37F">
        <w:rPr>
          <w:rFonts w:ascii="Times New Roman" w:hAnsi="Times New Roman" w:cs="Times New Roman"/>
          <w:sz w:val="28"/>
          <w:szCs w:val="28"/>
        </w:rPr>
        <w:t>Сокращение темпов</w:t>
      </w:r>
      <w:r w:rsidR="00710654" w:rsidRPr="00FE437F">
        <w:rPr>
          <w:rFonts w:ascii="Times New Roman" w:hAnsi="Times New Roman" w:cs="Times New Roman"/>
          <w:sz w:val="28"/>
          <w:szCs w:val="28"/>
        </w:rPr>
        <w:t xml:space="preserve"> в производстве готовых металлических изделий </w:t>
      </w:r>
      <w:r w:rsidR="00710654" w:rsidRPr="00FE437F">
        <w:rPr>
          <w:rFonts w:ascii="Times New Roman" w:hAnsi="Times New Roman" w:cs="Times New Roman"/>
          <w:sz w:val="28"/>
          <w:szCs w:val="28"/>
        </w:rPr>
        <w:br/>
        <w:t xml:space="preserve">(ИПП – </w:t>
      </w:r>
      <w:r w:rsidRPr="00FE437F">
        <w:rPr>
          <w:rFonts w:ascii="Times New Roman" w:hAnsi="Times New Roman" w:cs="Times New Roman"/>
          <w:sz w:val="28"/>
          <w:szCs w:val="28"/>
        </w:rPr>
        <w:t>92,8</w:t>
      </w:r>
      <w:r w:rsidR="00710654" w:rsidRPr="00FE437F">
        <w:rPr>
          <w:rFonts w:ascii="Times New Roman" w:hAnsi="Times New Roman" w:cs="Times New Roman"/>
          <w:sz w:val="28"/>
          <w:szCs w:val="28"/>
        </w:rPr>
        <w:t xml:space="preserve">%), прежде всего, связано с </w:t>
      </w:r>
      <w:r w:rsidRPr="00FE437F">
        <w:rPr>
          <w:rFonts w:ascii="Times New Roman" w:hAnsi="Times New Roman" w:cs="Times New Roman"/>
          <w:sz w:val="28"/>
          <w:szCs w:val="28"/>
        </w:rPr>
        <w:t xml:space="preserve">сокращением производства готовых металлических изделий, не включенных в другие группировки (на 16,7%), производства рабочих сменных инструментов для станков и для ручных инструментов (на 8,8%), объема обработки металлов и нанесения покрытий </w:t>
      </w:r>
      <w:r w:rsidRPr="00FE437F">
        <w:rPr>
          <w:rFonts w:ascii="Times New Roman" w:hAnsi="Times New Roman" w:cs="Times New Roman"/>
          <w:sz w:val="28"/>
          <w:szCs w:val="28"/>
        </w:rPr>
        <w:br/>
        <w:t xml:space="preserve">на металлы (на 6,9%), производства металлических цистерн, резервуаров </w:t>
      </w:r>
      <w:r w:rsidRPr="00FE437F">
        <w:rPr>
          <w:rFonts w:ascii="Times New Roman" w:hAnsi="Times New Roman" w:cs="Times New Roman"/>
          <w:sz w:val="28"/>
          <w:szCs w:val="28"/>
        </w:rPr>
        <w:br/>
        <w:t>и прочих емкостей (на 3,2%).</w:t>
      </w:r>
    </w:p>
    <w:p w14:paraId="5BD032AD" w14:textId="77777777" w:rsidR="00FE437F" w:rsidRPr="004204FA" w:rsidRDefault="00FE437F" w:rsidP="00FE43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B94AF7" w14:textId="77777777" w:rsidR="005B3F8E" w:rsidRPr="00FE437F" w:rsidRDefault="005B3F8E" w:rsidP="00966F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37F">
        <w:rPr>
          <w:rFonts w:ascii="Times New Roman" w:hAnsi="Times New Roman" w:cs="Times New Roman"/>
          <w:i/>
          <w:sz w:val="28"/>
          <w:szCs w:val="28"/>
        </w:rPr>
        <w:t>Другие производства</w:t>
      </w:r>
    </w:p>
    <w:p w14:paraId="4B7DC57D" w14:textId="0281F727" w:rsidR="00710654" w:rsidRPr="00FE437F" w:rsidRDefault="00710654" w:rsidP="00710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37F">
        <w:rPr>
          <w:rFonts w:ascii="Times New Roman" w:hAnsi="Times New Roman" w:cs="Times New Roman"/>
          <w:sz w:val="28"/>
          <w:szCs w:val="28"/>
        </w:rPr>
        <w:t xml:space="preserve">Среди других отраслей высокотехнологичного сектора промышленности </w:t>
      </w:r>
      <w:r w:rsidR="00592F18" w:rsidRPr="00FE437F"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r w:rsidRPr="00FE437F">
        <w:rPr>
          <w:rFonts w:ascii="Times New Roman" w:hAnsi="Times New Roman" w:cs="Times New Roman"/>
          <w:sz w:val="28"/>
          <w:szCs w:val="28"/>
        </w:rPr>
        <w:t>увелич</w:t>
      </w:r>
      <w:r w:rsidR="00592F18" w:rsidRPr="00FE437F">
        <w:rPr>
          <w:rFonts w:ascii="Times New Roman" w:hAnsi="Times New Roman" w:cs="Times New Roman"/>
          <w:sz w:val="28"/>
          <w:szCs w:val="28"/>
        </w:rPr>
        <w:t>ение</w:t>
      </w:r>
      <w:r w:rsidRPr="00FE437F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592F18" w:rsidRPr="00FE437F">
        <w:rPr>
          <w:rFonts w:ascii="Times New Roman" w:hAnsi="Times New Roman" w:cs="Times New Roman"/>
          <w:sz w:val="28"/>
          <w:szCs w:val="28"/>
        </w:rPr>
        <w:t>а</w:t>
      </w:r>
      <w:r w:rsidRPr="00FE437F">
        <w:rPr>
          <w:rFonts w:ascii="Times New Roman" w:hAnsi="Times New Roman" w:cs="Times New Roman"/>
          <w:sz w:val="28"/>
          <w:szCs w:val="28"/>
        </w:rPr>
        <w:t xml:space="preserve"> продукции в производстве лекарственных средств и материалов, применяемых в медицинских целях (ИПП – </w:t>
      </w:r>
      <w:r w:rsidR="00FE437F" w:rsidRPr="00FE437F">
        <w:rPr>
          <w:rFonts w:ascii="Times New Roman" w:hAnsi="Times New Roman" w:cs="Times New Roman"/>
          <w:sz w:val="28"/>
          <w:szCs w:val="28"/>
        </w:rPr>
        <w:t>135,4</w:t>
      </w:r>
      <w:r w:rsidRPr="00FE437F">
        <w:rPr>
          <w:rFonts w:ascii="Times New Roman" w:hAnsi="Times New Roman" w:cs="Times New Roman"/>
          <w:sz w:val="28"/>
          <w:szCs w:val="28"/>
        </w:rPr>
        <w:t xml:space="preserve">%), </w:t>
      </w:r>
      <w:r w:rsidRPr="00FE437F">
        <w:rPr>
          <w:rFonts w:ascii="Times New Roman" w:hAnsi="Times New Roman" w:cs="Times New Roman"/>
          <w:sz w:val="28"/>
          <w:szCs w:val="28"/>
        </w:rPr>
        <w:br/>
        <w:t xml:space="preserve">где значительно возросли объемы производства лекарственных препаратов </w:t>
      </w:r>
      <w:r w:rsidRPr="00FE437F">
        <w:rPr>
          <w:rFonts w:ascii="Times New Roman" w:hAnsi="Times New Roman" w:cs="Times New Roman"/>
          <w:sz w:val="28"/>
          <w:szCs w:val="28"/>
        </w:rPr>
        <w:br/>
        <w:t xml:space="preserve">и материалов, применяемых в медицинских целях (на </w:t>
      </w:r>
      <w:r w:rsidR="00FE437F" w:rsidRPr="00FE437F">
        <w:rPr>
          <w:rFonts w:ascii="Times New Roman" w:hAnsi="Times New Roman" w:cs="Times New Roman"/>
          <w:sz w:val="28"/>
          <w:szCs w:val="28"/>
        </w:rPr>
        <w:t>40,2</w:t>
      </w:r>
      <w:r w:rsidRPr="00FE437F">
        <w:rPr>
          <w:rFonts w:ascii="Times New Roman" w:hAnsi="Times New Roman" w:cs="Times New Roman"/>
          <w:sz w:val="28"/>
          <w:szCs w:val="28"/>
        </w:rPr>
        <w:t>%)</w:t>
      </w:r>
      <w:r w:rsidR="00FE437F" w:rsidRPr="00FE437F">
        <w:rPr>
          <w:rFonts w:ascii="Times New Roman" w:hAnsi="Times New Roman" w:cs="Times New Roman"/>
          <w:sz w:val="28"/>
          <w:szCs w:val="28"/>
        </w:rPr>
        <w:t>.</w:t>
      </w:r>
    </w:p>
    <w:p w14:paraId="330E2B7F" w14:textId="17CFBA75" w:rsidR="00710654" w:rsidRPr="005A23B8" w:rsidRDefault="00710654" w:rsidP="0096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37F">
        <w:rPr>
          <w:rFonts w:ascii="Times New Roman" w:hAnsi="Times New Roman" w:cs="Times New Roman"/>
          <w:sz w:val="28"/>
          <w:szCs w:val="28"/>
        </w:rPr>
        <w:t>В производстве резиновых и пластмассовых изделий (ИПП – 1</w:t>
      </w:r>
      <w:r w:rsidR="00FE437F" w:rsidRPr="00FE437F">
        <w:rPr>
          <w:rFonts w:ascii="Times New Roman" w:hAnsi="Times New Roman" w:cs="Times New Roman"/>
          <w:sz w:val="28"/>
          <w:szCs w:val="28"/>
        </w:rPr>
        <w:t>08,4</w:t>
      </w:r>
      <w:r w:rsidRPr="00FE437F">
        <w:rPr>
          <w:rFonts w:ascii="Times New Roman" w:hAnsi="Times New Roman" w:cs="Times New Roman"/>
          <w:sz w:val="28"/>
          <w:szCs w:val="28"/>
        </w:rPr>
        <w:t xml:space="preserve">%) </w:t>
      </w:r>
      <w:r w:rsidRPr="005A23B8">
        <w:rPr>
          <w:rFonts w:ascii="Times New Roman" w:hAnsi="Times New Roman" w:cs="Times New Roman"/>
          <w:sz w:val="28"/>
          <w:szCs w:val="28"/>
        </w:rPr>
        <w:t>увеличи</w:t>
      </w:r>
      <w:r w:rsidR="00FE437F" w:rsidRPr="005A23B8">
        <w:rPr>
          <w:rFonts w:ascii="Times New Roman" w:hAnsi="Times New Roman" w:cs="Times New Roman"/>
          <w:sz w:val="28"/>
          <w:szCs w:val="28"/>
        </w:rPr>
        <w:t>лось производство изделий из пластмасс (на 11,9%).</w:t>
      </w:r>
    </w:p>
    <w:p w14:paraId="41A76DDF" w14:textId="791FED1B" w:rsidR="00710654" w:rsidRPr="005A23B8" w:rsidRDefault="00710654" w:rsidP="00710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3B8">
        <w:rPr>
          <w:rFonts w:ascii="Times New Roman" w:hAnsi="Times New Roman" w:cs="Times New Roman"/>
          <w:sz w:val="28"/>
          <w:szCs w:val="28"/>
        </w:rPr>
        <w:t xml:space="preserve">В производстве химических веществ и химических продуктов </w:t>
      </w:r>
      <w:r w:rsidRPr="005A23B8">
        <w:rPr>
          <w:rFonts w:ascii="Times New Roman" w:hAnsi="Times New Roman" w:cs="Times New Roman"/>
          <w:sz w:val="28"/>
          <w:szCs w:val="28"/>
        </w:rPr>
        <w:br/>
        <w:t xml:space="preserve">(ИПП – </w:t>
      </w:r>
      <w:r w:rsidR="00FE437F" w:rsidRPr="005A23B8">
        <w:rPr>
          <w:rFonts w:ascii="Times New Roman" w:hAnsi="Times New Roman" w:cs="Times New Roman"/>
          <w:sz w:val="28"/>
          <w:szCs w:val="28"/>
        </w:rPr>
        <w:t>113,8</w:t>
      </w:r>
      <w:r w:rsidRPr="005A23B8">
        <w:rPr>
          <w:rFonts w:ascii="Times New Roman" w:hAnsi="Times New Roman" w:cs="Times New Roman"/>
          <w:sz w:val="28"/>
          <w:szCs w:val="28"/>
        </w:rPr>
        <w:t xml:space="preserve">%) значительно </w:t>
      </w:r>
      <w:r w:rsidR="00FE437F" w:rsidRPr="005A23B8">
        <w:rPr>
          <w:rFonts w:ascii="Times New Roman" w:hAnsi="Times New Roman" w:cs="Times New Roman"/>
          <w:sz w:val="28"/>
          <w:szCs w:val="28"/>
        </w:rPr>
        <w:t>увеличи</w:t>
      </w:r>
      <w:r w:rsidR="005A23B8" w:rsidRPr="005A23B8">
        <w:rPr>
          <w:rFonts w:ascii="Times New Roman" w:hAnsi="Times New Roman" w:cs="Times New Roman"/>
          <w:sz w:val="28"/>
          <w:szCs w:val="28"/>
        </w:rPr>
        <w:t>лось производство прочих химических продуктов (на 56,5%), химических волокон (на 25,1%).</w:t>
      </w:r>
    </w:p>
    <w:p w14:paraId="4F2EC978" w14:textId="13CB3BF7" w:rsidR="00AE4257" w:rsidRPr="005A23B8" w:rsidRDefault="00AE4257" w:rsidP="005A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3B8">
        <w:rPr>
          <w:rFonts w:ascii="Times New Roman" w:hAnsi="Times New Roman" w:cs="Times New Roman"/>
          <w:sz w:val="28"/>
          <w:szCs w:val="28"/>
        </w:rPr>
        <w:t xml:space="preserve">На общих результатах работы предприятий в производстве прочей неметаллической минеральной продукции (ИПП – </w:t>
      </w:r>
      <w:r w:rsidR="005A23B8" w:rsidRPr="005A23B8">
        <w:rPr>
          <w:rFonts w:ascii="Times New Roman" w:hAnsi="Times New Roman" w:cs="Times New Roman"/>
          <w:sz w:val="28"/>
          <w:szCs w:val="28"/>
        </w:rPr>
        <w:t>115,4</w:t>
      </w:r>
      <w:r w:rsidRPr="005A23B8">
        <w:rPr>
          <w:rFonts w:ascii="Times New Roman" w:hAnsi="Times New Roman" w:cs="Times New Roman"/>
          <w:sz w:val="28"/>
          <w:szCs w:val="28"/>
        </w:rPr>
        <w:t xml:space="preserve">%) </w:t>
      </w:r>
      <w:r w:rsidR="005A23B8" w:rsidRPr="005A23B8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Pr="005A23B8">
        <w:rPr>
          <w:rFonts w:ascii="Times New Roman" w:hAnsi="Times New Roman" w:cs="Times New Roman"/>
          <w:sz w:val="28"/>
          <w:szCs w:val="28"/>
        </w:rPr>
        <w:t xml:space="preserve">сказалось </w:t>
      </w:r>
      <w:r w:rsidR="005A23B8" w:rsidRPr="005A23B8">
        <w:rPr>
          <w:rFonts w:ascii="Times New Roman" w:hAnsi="Times New Roman" w:cs="Times New Roman"/>
          <w:sz w:val="28"/>
          <w:szCs w:val="28"/>
        </w:rPr>
        <w:t>увеличение</w:t>
      </w:r>
      <w:r w:rsidRPr="005A23B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A23B8" w:rsidRPr="005A23B8">
        <w:rPr>
          <w:rFonts w:ascii="Times New Roman" w:hAnsi="Times New Roman" w:cs="Times New Roman"/>
          <w:sz w:val="28"/>
          <w:szCs w:val="28"/>
        </w:rPr>
        <w:t>а</w:t>
      </w:r>
      <w:r w:rsidRPr="005A23B8">
        <w:rPr>
          <w:rFonts w:ascii="Times New Roman" w:hAnsi="Times New Roman" w:cs="Times New Roman"/>
          <w:sz w:val="28"/>
          <w:szCs w:val="28"/>
        </w:rPr>
        <w:t xml:space="preserve"> </w:t>
      </w:r>
      <w:r w:rsidR="005A23B8" w:rsidRPr="005A23B8">
        <w:rPr>
          <w:rFonts w:ascii="Times New Roman" w:hAnsi="Times New Roman" w:cs="Times New Roman"/>
          <w:sz w:val="28"/>
          <w:szCs w:val="28"/>
        </w:rPr>
        <w:t>резки, обработки и отделки камня (на 94,6%), производства изделий из бетона, цемента и гипса (на 32,9%).</w:t>
      </w:r>
      <w:r w:rsidRPr="005A23B8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5A23B8" w:rsidRPr="005A23B8">
        <w:rPr>
          <w:rFonts w:ascii="Times New Roman" w:hAnsi="Times New Roman" w:cs="Times New Roman"/>
          <w:sz w:val="28"/>
          <w:szCs w:val="28"/>
        </w:rPr>
        <w:t xml:space="preserve">снизились объемы производства </w:t>
      </w:r>
      <w:r w:rsidRPr="005A23B8">
        <w:rPr>
          <w:rFonts w:ascii="Times New Roman" w:hAnsi="Times New Roman" w:cs="Times New Roman"/>
          <w:sz w:val="28"/>
          <w:szCs w:val="28"/>
        </w:rPr>
        <w:t xml:space="preserve"> </w:t>
      </w:r>
      <w:r w:rsidR="005A23B8" w:rsidRPr="005A23B8">
        <w:rPr>
          <w:rFonts w:ascii="Times New Roman" w:hAnsi="Times New Roman" w:cs="Times New Roman"/>
          <w:sz w:val="28"/>
          <w:szCs w:val="28"/>
        </w:rPr>
        <w:t>прочих фарфоровых и керамических изделий (на 35,3%), цемента, извести и гипса (на 20,5%), стекла и изделий из стекла (на 10,8%), строительных керамических материалов (на 8,6%), а также огнеупорных изделий (на 8,5%).</w:t>
      </w:r>
    </w:p>
    <w:p w14:paraId="50F3E90B" w14:textId="38A881B8" w:rsidR="00AE4257" w:rsidRDefault="00AE4257" w:rsidP="00AE42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402CC7" w14:textId="77777777" w:rsidR="00E663F2" w:rsidRPr="000C68C2" w:rsidRDefault="00E663F2" w:rsidP="00C41823">
      <w:pPr>
        <w:pStyle w:val="2"/>
        <w:ind w:right="-1"/>
        <w:jc w:val="center"/>
      </w:pPr>
      <w:r w:rsidRPr="001B6049">
        <w:t>СТРОИТЕЛЬСТВО</w:t>
      </w:r>
    </w:p>
    <w:p w14:paraId="1102A9B5" w14:textId="77777777" w:rsidR="00416506" w:rsidRPr="000C68C2" w:rsidRDefault="00416506" w:rsidP="00636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54F4F" w14:textId="49C96CAE" w:rsidR="0026085B" w:rsidRPr="000C68C2" w:rsidRDefault="00E663F2" w:rsidP="00636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C2">
        <w:rPr>
          <w:rFonts w:ascii="Times New Roman" w:hAnsi="Times New Roman" w:cs="Times New Roman"/>
          <w:sz w:val="28"/>
          <w:szCs w:val="28"/>
        </w:rPr>
        <w:t xml:space="preserve">В </w:t>
      </w:r>
      <w:r w:rsidR="0012368E" w:rsidRPr="000C68C2">
        <w:rPr>
          <w:rFonts w:ascii="Times New Roman" w:hAnsi="Times New Roman" w:cs="Times New Roman"/>
          <w:sz w:val="28"/>
          <w:szCs w:val="28"/>
        </w:rPr>
        <w:t>январе-июне 20</w:t>
      </w:r>
      <w:r w:rsidR="005A23B8">
        <w:rPr>
          <w:rFonts w:ascii="Times New Roman" w:hAnsi="Times New Roman" w:cs="Times New Roman"/>
          <w:sz w:val="28"/>
          <w:szCs w:val="28"/>
        </w:rPr>
        <w:t>20</w:t>
      </w:r>
      <w:r w:rsidR="0012368E" w:rsidRPr="000C68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68C2">
        <w:rPr>
          <w:rFonts w:ascii="Times New Roman" w:hAnsi="Times New Roman" w:cs="Times New Roman"/>
          <w:sz w:val="28"/>
          <w:szCs w:val="28"/>
        </w:rPr>
        <w:t xml:space="preserve"> выполненный объем работ по виду деятельности «Строительство» составил </w:t>
      </w:r>
      <w:r w:rsidR="00F769DF" w:rsidRPr="000C68C2">
        <w:rPr>
          <w:rFonts w:ascii="Times New Roman" w:hAnsi="Times New Roman" w:cs="Times New Roman"/>
          <w:sz w:val="28"/>
          <w:szCs w:val="28"/>
        </w:rPr>
        <w:t>19</w:t>
      </w:r>
      <w:r w:rsidR="005A23B8">
        <w:rPr>
          <w:rFonts w:ascii="Times New Roman" w:hAnsi="Times New Roman" w:cs="Times New Roman"/>
          <w:sz w:val="28"/>
          <w:szCs w:val="28"/>
        </w:rPr>
        <w:t>6,4</w:t>
      </w:r>
      <w:r w:rsidR="00432FD6" w:rsidRPr="000C68C2">
        <w:rPr>
          <w:rFonts w:ascii="Times New Roman" w:hAnsi="Times New Roman" w:cs="Times New Roman"/>
          <w:sz w:val="28"/>
          <w:szCs w:val="28"/>
        </w:rPr>
        <w:t xml:space="preserve"> </w:t>
      </w:r>
      <w:r w:rsidR="00E85208" w:rsidRPr="000C68C2">
        <w:rPr>
          <w:rFonts w:ascii="Times New Roman" w:hAnsi="Times New Roman" w:cs="Times New Roman"/>
          <w:sz w:val="28"/>
          <w:szCs w:val="28"/>
        </w:rPr>
        <w:t>млрд</w:t>
      </w:r>
      <w:r w:rsidR="00432FD6" w:rsidRPr="000C68C2">
        <w:rPr>
          <w:rFonts w:ascii="Times New Roman" w:hAnsi="Times New Roman" w:cs="Times New Roman"/>
          <w:sz w:val="28"/>
          <w:szCs w:val="28"/>
        </w:rPr>
        <w:t xml:space="preserve"> руб</w:t>
      </w:r>
      <w:r w:rsidRPr="000C68C2">
        <w:rPr>
          <w:rFonts w:ascii="Times New Roman" w:hAnsi="Times New Roman" w:cs="Times New Roman"/>
          <w:sz w:val="28"/>
          <w:szCs w:val="28"/>
        </w:rPr>
        <w:t>.</w:t>
      </w:r>
      <w:r w:rsidR="0012368E" w:rsidRPr="000C68C2">
        <w:rPr>
          <w:rFonts w:ascii="Times New Roman" w:hAnsi="Times New Roman" w:cs="Times New Roman"/>
          <w:sz w:val="28"/>
          <w:szCs w:val="28"/>
        </w:rPr>
        <w:t xml:space="preserve">, что в сопоставимых ценах на </w:t>
      </w:r>
      <w:r w:rsidR="005A23B8">
        <w:rPr>
          <w:rFonts w:ascii="Times New Roman" w:hAnsi="Times New Roman" w:cs="Times New Roman"/>
          <w:sz w:val="28"/>
          <w:szCs w:val="28"/>
        </w:rPr>
        <w:t>0,3</w:t>
      </w:r>
      <w:r w:rsidR="0012368E" w:rsidRPr="000C68C2">
        <w:rPr>
          <w:rFonts w:ascii="Times New Roman" w:hAnsi="Times New Roman" w:cs="Times New Roman"/>
          <w:sz w:val="28"/>
          <w:szCs w:val="28"/>
        </w:rPr>
        <w:t xml:space="preserve">% </w:t>
      </w:r>
      <w:r w:rsidR="005A23B8">
        <w:rPr>
          <w:rFonts w:ascii="Times New Roman" w:hAnsi="Times New Roman" w:cs="Times New Roman"/>
          <w:sz w:val="28"/>
          <w:szCs w:val="28"/>
        </w:rPr>
        <w:t>боль</w:t>
      </w:r>
      <w:r w:rsidR="00F769DF" w:rsidRPr="000C68C2">
        <w:rPr>
          <w:rFonts w:ascii="Times New Roman" w:hAnsi="Times New Roman" w:cs="Times New Roman"/>
          <w:sz w:val="28"/>
          <w:szCs w:val="28"/>
        </w:rPr>
        <w:t>ше</w:t>
      </w:r>
      <w:r w:rsidR="00432FD6" w:rsidRPr="000C68C2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12368E" w:rsidRPr="000C68C2">
        <w:rPr>
          <w:rFonts w:ascii="Times New Roman" w:hAnsi="Times New Roman" w:cs="Times New Roman"/>
          <w:sz w:val="28"/>
          <w:szCs w:val="28"/>
        </w:rPr>
        <w:t>аналогичном периоде прошлого года.</w:t>
      </w:r>
    </w:p>
    <w:p w14:paraId="4E305946" w14:textId="55F3CA8F" w:rsidR="005D14A1" w:rsidRPr="000C68C2" w:rsidRDefault="000B6F1F" w:rsidP="00636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AAF">
        <w:rPr>
          <w:b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45DFC4E" wp14:editId="18129943">
            <wp:simplePos x="0" y="0"/>
            <wp:positionH relativeFrom="page">
              <wp:align>center</wp:align>
            </wp:positionH>
            <wp:positionV relativeFrom="paragraph">
              <wp:posOffset>740410</wp:posOffset>
            </wp:positionV>
            <wp:extent cx="5562600" cy="1352550"/>
            <wp:effectExtent l="0" t="0" r="0" b="0"/>
            <wp:wrapTopAndBottom/>
            <wp:docPr id="4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26" w:rsidRPr="00941AAF">
        <w:rPr>
          <w:rFonts w:ascii="Times New Roman" w:hAnsi="Times New Roman" w:cs="Times New Roman"/>
          <w:sz w:val="28"/>
          <w:szCs w:val="28"/>
        </w:rPr>
        <w:t>В</w:t>
      </w:r>
      <w:r w:rsidR="005D14A1" w:rsidRPr="00941AAF">
        <w:rPr>
          <w:rFonts w:ascii="Times New Roman" w:hAnsi="Times New Roman" w:cs="Times New Roman"/>
          <w:sz w:val="28"/>
          <w:szCs w:val="28"/>
        </w:rPr>
        <w:t xml:space="preserve"> </w:t>
      </w:r>
      <w:r w:rsidR="0012368E" w:rsidRPr="00941AAF">
        <w:rPr>
          <w:rFonts w:ascii="Times New Roman" w:hAnsi="Times New Roman" w:cs="Times New Roman"/>
          <w:sz w:val="28"/>
          <w:szCs w:val="28"/>
        </w:rPr>
        <w:t>первом полугодии текущего года введено в действие</w:t>
      </w:r>
      <w:r w:rsidR="0026085B" w:rsidRPr="00941AAF">
        <w:rPr>
          <w:rFonts w:ascii="Times New Roman" w:hAnsi="Times New Roman" w:cs="Times New Roman"/>
          <w:sz w:val="28"/>
          <w:szCs w:val="28"/>
        </w:rPr>
        <w:t xml:space="preserve"> </w:t>
      </w:r>
      <w:r w:rsidR="00941AAF" w:rsidRPr="00941AAF">
        <w:rPr>
          <w:rFonts w:ascii="Times New Roman" w:hAnsi="Times New Roman" w:cs="Times New Roman"/>
          <w:sz w:val="28"/>
          <w:szCs w:val="28"/>
        </w:rPr>
        <w:t>724,9</w:t>
      </w:r>
      <w:r w:rsidR="005D14A1" w:rsidRPr="00941AAF">
        <w:rPr>
          <w:rFonts w:ascii="Times New Roman" w:hAnsi="Times New Roman" w:cs="Times New Roman"/>
          <w:sz w:val="28"/>
          <w:szCs w:val="28"/>
        </w:rPr>
        <w:t xml:space="preserve"> тыс. кв.</w:t>
      </w:r>
      <w:r w:rsidR="00AD338F" w:rsidRPr="00941AAF">
        <w:rPr>
          <w:rFonts w:ascii="Times New Roman" w:hAnsi="Times New Roman" w:cs="Times New Roman"/>
          <w:sz w:val="28"/>
          <w:szCs w:val="28"/>
        </w:rPr>
        <w:t xml:space="preserve"> </w:t>
      </w:r>
      <w:r w:rsidR="005D14A1" w:rsidRPr="00941AAF">
        <w:rPr>
          <w:rFonts w:ascii="Times New Roman" w:hAnsi="Times New Roman" w:cs="Times New Roman"/>
          <w:sz w:val="28"/>
          <w:szCs w:val="28"/>
        </w:rPr>
        <w:t>м жилья</w:t>
      </w:r>
      <w:r w:rsidR="0026085B" w:rsidRPr="00782A78">
        <w:rPr>
          <w:rFonts w:ascii="Times New Roman" w:hAnsi="Times New Roman" w:cs="Times New Roman"/>
          <w:sz w:val="28"/>
          <w:szCs w:val="28"/>
        </w:rPr>
        <w:t>,</w:t>
      </w:r>
      <w:r w:rsidR="00782A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338F" w:rsidRPr="00941AAF">
        <w:rPr>
          <w:rFonts w:ascii="Times New Roman" w:hAnsi="Times New Roman" w:cs="Times New Roman"/>
          <w:sz w:val="28"/>
          <w:szCs w:val="28"/>
        </w:rPr>
        <w:t xml:space="preserve">что </w:t>
      </w:r>
      <w:r w:rsidR="00941AAF" w:rsidRPr="00941AAF">
        <w:rPr>
          <w:rFonts w:ascii="Times New Roman" w:hAnsi="Times New Roman" w:cs="Times New Roman"/>
          <w:sz w:val="28"/>
          <w:szCs w:val="28"/>
        </w:rPr>
        <w:t>на 21,8</w:t>
      </w:r>
      <w:r w:rsidR="001B72F2" w:rsidRPr="000C68C2">
        <w:rPr>
          <w:rFonts w:ascii="Times New Roman" w:hAnsi="Times New Roman" w:cs="Times New Roman"/>
          <w:sz w:val="28"/>
          <w:szCs w:val="28"/>
        </w:rPr>
        <w:t>%</w:t>
      </w:r>
      <w:r w:rsidR="00941AAF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02509E" w:rsidRPr="000C68C2">
        <w:rPr>
          <w:rFonts w:ascii="Times New Roman" w:hAnsi="Times New Roman" w:cs="Times New Roman"/>
          <w:sz w:val="28"/>
          <w:szCs w:val="28"/>
        </w:rPr>
        <w:t xml:space="preserve"> </w:t>
      </w:r>
      <w:r w:rsidR="0012368E" w:rsidRPr="000C68C2">
        <w:rPr>
          <w:rFonts w:ascii="Times New Roman" w:hAnsi="Times New Roman" w:cs="Times New Roman"/>
          <w:sz w:val="28"/>
          <w:szCs w:val="28"/>
        </w:rPr>
        <w:t>объем</w:t>
      </w:r>
      <w:r w:rsidR="001B72F2" w:rsidRPr="000C68C2">
        <w:rPr>
          <w:rFonts w:ascii="Times New Roman" w:hAnsi="Times New Roman" w:cs="Times New Roman"/>
          <w:sz w:val="28"/>
          <w:szCs w:val="28"/>
        </w:rPr>
        <w:t>а</w:t>
      </w:r>
      <w:r w:rsidR="0012368E" w:rsidRPr="000C68C2">
        <w:rPr>
          <w:rFonts w:ascii="Times New Roman" w:hAnsi="Times New Roman" w:cs="Times New Roman"/>
          <w:sz w:val="28"/>
          <w:szCs w:val="28"/>
        </w:rPr>
        <w:t xml:space="preserve"> </w:t>
      </w:r>
      <w:r w:rsidR="00D85A14" w:rsidRPr="000C68C2">
        <w:rPr>
          <w:rFonts w:ascii="Times New Roman" w:hAnsi="Times New Roman" w:cs="Times New Roman"/>
          <w:sz w:val="28"/>
          <w:szCs w:val="28"/>
        </w:rPr>
        <w:t xml:space="preserve">ввода </w:t>
      </w:r>
      <w:r w:rsidR="00941AAF">
        <w:rPr>
          <w:rFonts w:ascii="Times New Roman" w:hAnsi="Times New Roman" w:cs="Times New Roman"/>
          <w:sz w:val="28"/>
          <w:szCs w:val="28"/>
        </w:rPr>
        <w:t xml:space="preserve">жилой площади </w:t>
      </w:r>
      <w:r w:rsidR="00D85A14" w:rsidRPr="000C68C2">
        <w:rPr>
          <w:rFonts w:ascii="Times New Roman" w:hAnsi="Times New Roman" w:cs="Times New Roman"/>
          <w:sz w:val="28"/>
          <w:szCs w:val="28"/>
        </w:rPr>
        <w:t>за аналогичный период 201</w:t>
      </w:r>
      <w:r w:rsidR="00941AAF">
        <w:rPr>
          <w:rFonts w:ascii="Times New Roman" w:hAnsi="Times New Roman" w:cs="Times New Roman"/>
          <w:sz w:val="28"/>
          <w:szCs w:val="28"/>
        </w:rPr>
        <w:t>9</w:t>
      </w:r>
      <w:r w:rsidR="0012368E" w:rsidRPr="000C68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14A1" w:rsidRPr="000C68C2">
        <w:rPr>
          <w:rFonts w:ascii="Times New Roman" w:hAnsi="Times New Roman" w:cs="Times New Roman"/>
          <w:sz w:val="28"/>
          <w:szCs w:val="28"/>
        </w:rPr>
        <w:t>.</w:t>
      </w:r>
    </w:p>
    <w:p w14:paraId="6596EB34" w14:textId="62888BA5" w:rsidR="00D50CBE" w:rsidRPr="000C68C2" w:rsidRDefault="00D50CBE" w:rsidP="00D5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lastRenderedPageBreak/>
        <w:t>ТОРГОВЛЯ, ЦЕНЫ</w:t>
      </w:r>
    </w:p>
    <w:p w14:paraId="69CA1184" w14:textId="77777777" w:rsidR="00D50CBE" w:rsidRPr="00EE1D10" w:rsidRDefault="00D50CBE" w:rsidP="00D50C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0ED6D0" w14:textId="21BF4999" w:rsidR="00D50CBE" w:rsidRPr="00EE1D10" w:rsidRDefault="00D50CBE" w:rsidP="00D50CBE">
      <w:pPr>
        <w:pStyle w:val="aa"/>
        <w:ind w:firstLine="567"/>
        <w:jc w:val="both"/>
        <w:rPr>
          <w:b w:val="0"/>
          <w:bCs w:val="0"/>
          <w:color w:val="FF0000"/>
          <w:szCs w:val="28"/>
        </w:rPr>
      </w:pPr>
      <w:r w:rsidRPr="00D91E8B">
        <w:rPr>
          <w:b w:val="0"/>
          <w:bCs w:val="0"/>
          <w:szCs w:val="28"/>
        </w:rPr>
        <w:t>Оборот розничной торговли по итогам I полугодия 20</w:t>
      </w:r>
      <w:r w:rsidR="00D91E8B" w:rsidRPr="00D91E8B">
        <w:rPr>
          <w:b w:val="0"/>
          <w:bCs w:val="0"/>
          <w:szCs w:val="28"/>
        </w:rPr>
        <w:t>20</w:t>
      </w:r>
      <w:r w:rsidRPr="00D91E8B">
        <w:rPr>
          <w:b w:val="0"/>
          <w:bCs w:val="0"/>
          <w:szCs w:val="28"/>
        </w:rPr>
        <w:t xml:space="preserve"> года составил </w:t>
      </w:r>
      <w:r w:rsidRPr="00D91E8B">
        <w:rPr>
          <w:b w:val="0"/>
          <w:bCs w:val="0"/>
          <w:szCs w:val="28"/>
        </w:rPr>
        <w:br/>
      </w:r>
      <w:r w:rsidR="00D91E8B" w:rsidRPr="00D91E8B">
        <w:rPr>
          <w:b w:val="0"/>
          <w:bCs w:val="0"/>
          <w:szCs w:val="28"/>
        </w:rPr>
        <w:t>675,2</w:t>
      </w:r>
      <w:r w:rsidRPr="00D91E8B">
        <w:rPr>
          <w:b w:val="0"/>
          <w:bCs w:val="0"/>
          <w:szCs w:val="28"/>
        </w:rPr>
        <w:t xml:space="preserve"> млрд руб., что в сопоставимых ценах на </w:t>
      </w:r>
      <w:r w:rsidR="00D91E8B" w:rsidRPr="00D91E8B">
        <w:rPr>
          <w:b w:val="0"/>
          <w:bCs w:val="0"/>
          <w:szCs w:val="28"/>
        </w:rPr>
        <w:t>8,1</w:t>
      </w:r>
      <w:r w:rsidRPr="00D91E8B">
        <w:rPr>
          <w:b w:val="0"/>
          <w:bCs w:val="0"/>
          <w:szCs w:val="28"/>
        </w:rPr>
        <w:t xml:space="preserve">% </w:t>
      </w:r>
      <w:r w:rsidR="00D91E8B" w:rsidRPr="00D91E8B">
        <w:rPr>
          <w:b w:val="0"/>
          <w:bCs w:val="0"/>
          <w:szCs w:val="28"/>
        </w:rPr>
        <w:t>мень</w:t>
      </w:r>
      <w:r w:rsidRPr="00D91E8B">
        <w:rPr>
          <w:b w:val="0"/>
          <w:bCs w:val="0"/>
          <w:szCs w:val="28"/>
        </w:rPr>
        <w:t xml:space="preserve">ше по сравнению </w:t>
      </w:r>
      <w:r w:rsidRPr="00D91E8B">
        <w:rPr>
          <w:b w:val="0"/>
          <w:bCs w:val="0"/>
          <w:szCs w:val="28"/>
        </w:rPr>
        <w:br/>
        <w:t>с аналогичным периодом 201</w:t>
      </w:r>
      <w:r w:rsidR="00D91E8B" w:rsidRPr="00D91E8B">
        <w:rPr>
          <w:b w:val="0"/>
          <w:bCs w:val="0"/>
          <w:szCs w:val="28"/>
        </w:rPr>
        <w:t>9</w:t>
      </w:r>
      <w:r w:rsidRPr="00D91E8B">
        <w:rPr>
          <w:b w:val="0"/>
          <w:bCs w:val="0"/>
          <w:szCs w:val="28"/>
        </w:rPr>
        <w:t xml:space="preserve"> года. В структуре оборота розничной торговли </w:t>
      </w:r>
      <w:r w:rsidRPr="00721602">
        <w:rPr>
          <w:b w:val="0"/>
          <w:bCs w:val="0"/>
          <w:szCs w:val="28"/>
        </w:rPr>
        <w:t xml:space="preserve">удельный вес оборота пищевых продуктов, включая напитки, и табачных изделий </w:t>
      </w:r>
      <w:r w:rsidR="00F42BAE">
        <w:rPr>
          <w:b w:val="0"/>
          <w:bCs w:val="0"/>
          <w:szCs w:val="28"/>
        </w:rPr>
        <w:t xml:space="preserve">составил </w:t>
      </w:r>
      <w:r w:rsidRPr="00721602">
        <w:rPr>
          <w:b w:val="0"/>
          <w:bCs w:val="0"/>
          <w:szCs w:val="28"/>
        </w:rPr>
        <w:t>3</w:t>
      </w:r>
      <w:r w:rsidR="000A502C">
        <w:rPr>
          <w:b w:val="0"/>
          <w:bCs w:val="0"/>
          <w:szCs w:val="28"/>
        </w:rPr>
        <w:t>9</w:t>
      </w:r>
      <w:r w:rsidRPr="00721602">
        <w:rPr>
          <w:b w:val="0"/>
          <w:bCs w:val="0"/>
          <w:szCs w:val="28"/>
        </w:rPr>
        <w:t>%, непродовольственных товаров – 6</w:t>
      </w:r>
      <w:r w:rsidR="000A502C">
        <w:rPr>
          <w:b w:val="0"/>
          <w:bCs w:val="0"/>
          <w:szCs w:val="28"/>
        </w:rPr>
        <w:t>1</w:t>
      </w:r>
      <w:r w:rsidRPr="00721602">
        <w:rPr>
          <w:b w:val="0"/>
          <w:bCs w:val="0"/>
          <w:szCs w:val="28"/>
        </w:rPr>
        <w:t>%.</w:t>
      </w:r>
    </w:p>
    <w:p w14:paraId="3C53A595" w14:textId="4FE9A753" w:rsidR="00D50CBE" w:rsidRPr="00126DD1" w:rsidRDefault="00D50CBE" w:rsidP="00D50CBE">
      <w:pPr>
        <w:pStyle w:val="aa"/>
        <w:ind w:firstLine="567"/>
        <w:jc w:val="both"/>
        <w:rPr>
          <w:b w:val="0"/>
          <w:bCs w:val="0"/>
          <w:szCs w:val="28"/>
        </w:rPr>
      </w:pPr>
      <w:r w:rsidRPr="00126DD1">
        <w:rPr>
          <w:b w:val="0"/>
          <w:bCs w:val="0"/>
          <w:szCs w:val="28"/>
        </w:rPr>
        <w:t xml:space="preserve">Оборот пищевых продуктов, включая напитки, и табачных изделий </w:t>
      </w:r>
      <w:r w:rsidRPr="00126DD1">
        <w:rPr>
          <w:b w:val="0"/>
          <w:bCs w:val="0"/>
          <w:szCs w:val="28"/>
        </w:rPr>
        <w:br/>
        <w:t xml:space="preserve">в </w:t>
      </w:r>
      <w:r w:rsidRPr="00126DD1">
        <w:rPr>
          <w:b w:val="0"/>
          <w:bCs w:val="0"/>
          <w:szCs w:val="28"/>
          <w:lang w:val="en-US"/>
        </w:rPr>
        <w:t>I</w:t>
      </w:r>
      <w:r w:rsidRPr="00126DD1">
        <w:rPr>
          <w:b w:val="0"/>
          <w:bCs w:val="0"/>
          <w:szCs w:val="28"/>
        </w:rPr>
        <w:t xml:space="preserve"> полугодии 20</w:t>
      </w:r>
      <w:r w:rsidR="00126DD1" w:rsidRPr="00126DD1">
        <w:rPr>
          <w:b w:val="0"/>
          <w:bCs w:val="0"/>
          <w:szCs w:val="28"/>
        </w:rPr>
        <w:t>20</w:t>
      </w:r>
      <w:r w:rsidRPr="00126DD1">
        <w:rPr>
          <w:b w:val="0"/>
          <w:bCs w:val="0"/>
          <w:szCs w:val="28"/>
        </w:rPr>
        <w:t xml:space="preserve"> года </w:t>
      </w:r>
      <w:r w:rsidR="00126DD1" w:rsidRPr="00126DD1">
        <w:rPr>
          <w:b w:val="0"/>
          <w:bCs w:val="0"/>
          <w:szCs w:val="28"/>
        </w:rPr>
        <w:t>увеличил</w:t>
      </w:r>
      <w:r w:rsidRPr="00126DD1">
        <w:rPr>
          <w:b w:val="0"/>
          <w:bCs w:val="0"/>
          <w:szCs w:val="28"/>
        </w:rPr>
        <w:t>ся на 1,</w:t>
      </w:r>
      <w:r w:rsidR="00126DD1" w:rsidRPr="00126DD1">
        <w:rPr>
          <w:b w:val="0"/>
          <w:bCs w:val="0"/>
          <w:szCs w:val="28"/>
        </w:rPr>
        <w:t>7</w:t>
      </w:r>
      <w:r w:rsidRPr="00126DD1">
        <w:rPr>
          <w:b w:val="0"/>
          <w:bCs w:val="0"/>
          <w:szCs w:val="28"/>
        </w:rPr>
        <w:t>% (в январе-июне 201</w:t>
      </w:r>
      <w:r w:rsidR="00126DD1" w:rsidRPr="00126DD1">
        <w:rPr>
          <w:b w:val="0"/>
          <w:bCs w:val="0"/>
          <w:szCs w:val="28"/>
        </w:rPr>
        <w:t>9</w:t>
      </w:r>
      <w:r w:rsidRPr="00126DD1">
        <w:rPr>
          <w:b w:val="0"/>
          <w:bCs w:val="0"/>
          <w:szCs w:val="28"/>
        </w:rPr>
        <w:t xml:space="preserve"> года – </w:t>
      </w:r>
      <w:r w:rsidRPr="00126DD1">
        <w:rPr>
          <w:b w:val="0"/>
          <w:bCs w:val="0"/>
          <w:szCs w:val="28"/>
        </w:rPr>
        <w:br/>
      </w:r>
      <w:r w:rsidR="00126DD1" w:rsidRPr="00126DD1">
        <w:rPr>
          <w:b w:val="0"/>
          <w:bCs w:val="0"/>
          <w:szCs w:val="28"/>
        </w:rPr>
        <w:t>увеличени</w:t>
      </w:r>
      <w:r w:rsidRPr="00126DD1">
        <w:rPr>
          <w:b w:val="0"/>
          <w:bCs w:val="0"/>
          <w:szCs w:val="28"/>
        </w:rPr>
        <w:t xml:space="preserve">е на </w:t>
      </w:r>
      <w:r w:rsidR="00126DD1" w:rsidRPr="00126DD1">
        <w:rPr>
          <w:b w:val="0"/>
          <w:bCs w:val="0"/>
          <w:szCs w:val="28"/>
        </w:rPr>
        <w:t>1,7</w:t>
      </w:r>
      <w:r w:rsidRPr="00126DD1">
        <w:rPr>
          <w:b w:val="0"/>
          <w:bCs w:val="0"/>
          <w:szCs w:val="28"/>
        </w:rPr>
        <w:t xml:space="preserve">%), оборот по непродовольственным товарам </w:t>
      </w:r>
      <w:r w:rsidR="00126DD1" w:rsidRPr="00126DD1">
        <w:rPr>
          <w:b w:val="0"/>
          <w:bCs w:val="0"/>
          <w:szCs w:val="28"/>
        </w:rPr>
        <w:t>уменьшил</w:t>
      </w:r>
      <w:r w:rsidRPr="00126DD1">
        <w:rPr>
          <w:b w:val="0"/>
          <w:bCs w:val="0"/>
          <w:szCs w:val="28"/>
        </w:rPr>
        <w:t xml:space="preserve">ся </w:t>
      </w:r>
      <w:r w:rsidRPr="00126DD1">
        <w:rPr>
          <w:b w:val="0"/>
          <w:bCs w:val="0"/>
          <w:szCs w:val="28"/>
        </w:rPr>
        <w:br/>
        <w:t xml:space="preserve">на </w:t>
      </w:r>
      <w:r w:rsidR="00126DD1" w:rsidRPr="00126DD1">
        <w:rPr>
          <w:b w:val="0"/>
          <w:bCs w:val="0"/>
          <w:szCs w:val="28"/>
        </w:rPr>
        <w:t>13,4</w:t>
      </w:r>
      <w:r w:rsidRPr="00126DD1">
        <w:rPr>
          <w:b w:val="0"/>
          <w:bCs w:val="0"/>
          <w:szCs w:val="28"/>
        </w:rPr>
        <w:t>% (в январе-июне 201</w:t>
      </w:r>
      <w:r w:rsidR="00126DD1" w:rsidRPr="00126DD1">
        <w:rPr>
          <w:b w:val="0"/>
          <w:bCs w:val="0"/>
          <w:szCs w:val="28"/>
        </w:rPr>
        <w:t>9</w:t>
      </w:r>
      <w:r w:rsidRPr="00126DD1">
        <w:rPr>
          <w:b w:val="0"/>
          <w:bCs w:val="0"/>
          <w:szCs w:val="28"/>
        </w:rPr>
        <w:t xml:space="preserve"> года – рост на </w:t>
      </w:r>
      <w:r w:rsidR="00126DD1" w:rsidRPr="00126DD1">
        <w:rPr>
          <w:b w:val="0"/>
          <w:bCs w:val="0"/>
          <w:szCs w:val="28"/>
        </w:rPr>
        <w:t>2,5</w:t>
      </w:r>
      <w:r w:rsidRPr="00126DD1">
        <w:rPr>
          <w:b w:val="0"/>
          <w:bCs w:val="0"/>
          <w:szCs w:val="28"/>
        </w:rPr>
        <w:t>%).</w:t>
      </w:r>
    </w:p>
    <w:p w14:paraId="70040B8F" w14:textId="44CFBAD9" w:rsidR="00D50CBE" w:rsidRPr="00126DD1" w:rsidRDefault="00D50CBE" w:rsidP="00D50CBE">
      <w:pPr>
        <w:pStyle w:val="aa"/>
        <w:ind w:firstLine="567"/>
        <w:jc w:val="both"/>
        <w:rPr>
          <w:b w:val="0"/>
          <w:bCs w:val="0"/>
          <w:szCs w:val="28"/>
        </w:rPr>
      </w:pPr>
      <w:r w:rsidRPr="00126DD1">
        <w:rPr>
          <w:b w:val="0"/>
          <w:bCs w:val="0"/>
          <w:szCs w:val="28"/>
        </w:rPr>
        <w:t xml:space="preserve">Оборот общественного питания в январе-июне текущего года составил </w:t>
      </w:r>
      <w:r w:rsidRPr="00126DD1">
        <w:rPr>
          <w:b w:val="0"/>
          <w:bCs w:val="0"/>
          <w:szCs w:val="28"/>
        </w:rPr>
        <w:br/>
      </w:r>
      <w:r w:rsidR="00126DD1" w:rsidRPr="00126DD1">
        <w:rPr>
          <w:b w:val="0"/>
          <w:bCs w:val="0"/>
          <w:szCs w:val="28"/>
        </w:rPr>
        <w:t>32,2</w:t>
      </w:r>
      <w:r w:rsidR="00B75444">
        <w:rPr>
          <w:b w:val="0"/>
          <w:bCs w:val="0"/>
          <w:szCs w:val="28"/>
        </w:rPr>
        <w:t xml:space="preserve"> млрд руб.  </w:t>
      </w:r>
      <w:r w:rsidR="00B75444" w:rsidRPr="00126DD1">
        <w:rPr>
          <w:b w:val="0"/>
          <w:bCs w:val="0"/>
          <w:szCs w:val="28"/>
        </w:rPr>
        <w:t xml:space="preserve">(снижение на </w:t>
      </w:r>
      <w:r w:rsidR="00B75444">
        <w:rPr>
          <w:b w:val="0"/>
          <w:bCs w:val="0"/>
          <w:szCs w:val="28"/>
        </w:rPr>
        <w:t>30,4</w:t>
      </w:r>
      <w:r w:rsidR="00B75444" w:rsidRPr="00126DD1">
        <w:rPr>
          <w:b w:val="0"/>
          <w:bCs w:val="0"/>
          <w:szCs w:val="28"/>
        </w:rPr>
        <w:t>% к аналогичному периоду 2019 года).</w:t>
      </w:r>
    </w:p>
    <w:p w14:paraId="663C6342" w14:textId="6C0B1C78" w:rsidR="00D50CBE" w:rsidRPr="00126DD1" w:rsidRDefault="00D50CBE" w:rsidP="00D50CBE">
      <w:pPr>
        <w:pStyle w:val="aa"/>
        <w:ind w:firstLine="567"/>
        <w:jc w:val="both"/>
        <w:rPr>
          <w:b w:val="0"/>
          <w:bCs w:val="0"/>
          <w:szCs w:val="28"/>
        </w:rPr>
      </w:pPr>
      <w:r w:rsidRPr="00126DD1">
        <w:rPr>
          <w:b w:val="0"/>
          <w:bCs w:val="0"/>
          <w:szCs w:val="28"/>
        </w:rPr>
        <w:t xml:space="preserve">По итогам </w:t>
      </w:r>
      <w:r w:rsidRPr="00126DD1">
        <w:rPr>
          <w:b w:val="0"/>
          <w:bCs w:val="0"/>
          <w:szCs w:val="28"/>
          <w:lang w:val="en-US"/>
        </w:rPr>
        <w:t>I</w:t>
      </w:r>
      <w:r w:rsidRPr="00126DD1">
        <w:rPr>
          <w:b w:val="0"/>
          <w:bCs w:val="0"/>
          <w:szCs w:val="28"/>
        </w:rPr>
        <w:t xml:space="preserve"> полугодия 20</w:t>
      </w:r>
      <w:r w:rsidR="00126DD1" w:rsidRPr="00126DD1">
        <w:rPr>
          <w:b w:val="0"/>
          <w:bCs w:val="0"/>
          <w:szCs w:val="28"/>
        </w:rPr>
        <w:t>20</w:t>
      </w:r>
      <w:r w:rsidRPr="00126DD1">
        <w:rPr>
          <w:b w:val="0"/>
          <w:bCs w:val="0"/>
          <w:szCs w:val="28"/>
        </w:rPr>
        <w:t xml:space="preserve"> года населению на территории </w:t>
      </w:r>
      <w:r w:rsidRPr="00126DD1">
        <w:rPr>
          <w:b w:val="0"/>
          <w:bCs w:val="0"/>
          <w:szCs w:val="28"/>
        </w:rPr>
        <w:br/>
        <w:t>Санкт-Петербурга было оказано платных услуг на сумму 2</w:t>
      </w:r>
      <w:r w:rsidR="00126DD1" w:rsidRPr="00126DD1">
        <w:rPr>
          <w:b w:val="0"/>
          <w:bCs w:val="0"/>
          <w:szCs w:val="28"/>
        </w:rPr>
        <w:t>28,0</w:t>
      </w:r>
      <w:r w:rsidRPr="00126DD1">
        <w:rPr>
          <w:b w:val="0"/>
          <w:bCs w:val="0"/>
          <w:szCs w:val="28"/>
        </w:rPr>
        <w:t xml:space="preserve"> млрд руб. </w:t>
      </w:r>
      <w:r w:rsidRPr="00126DD1">
        <w:rPr>
          <w:b w:val="0"/>
          <w:bCs w:val="0"/>
          <w:szCs w:val="28"/>
        </w:rPr>
        <w:br/>
        <w:t xml:space="preserve">(снижение на </w:t>
      </w:r>
      <w:r w:rsidR="00126DD1" w:rsidRPr="00126DD1">
        <w:rPr>
          <w:b w:val="0"/>
          <w:bCs w:val="0"/>
          <w:szCs w:val="28"/>
        </w:rPr>
        <w:t>21,1</w:t>
      </w:r>
      <w:r w:rsidRPr="00126DD1">
        <w:rPr>
          <w:b w:val="0"/>
          <w:bCs w:val="0"/>
          <w:szCs w:val="28"/>
        </w:rPr>
        <w:t>% к аналогичному периоду 201</w:t>
      </w:r>
      <w:r w:rsidR="00126DD1" w:rsidRPr="00126DD1">
        <w:rPr>
          <w:b w:val="0"/>
          <w:bCs w:val="0"/>
          <w:szCs w:val="28"/>
        </w:rPr>
        <w:t>9</w:t>
      </w:r>
      <w:r w:rsidRPr="00126DD1">
        <w:rPr>
          <w:b w:val="0"/>
          <w:bCs w:val="0"/>
          <w:szCs w:val="28"/>
        </w:rPr>
        <w:t xml:space="preserve"> года). </w:t>
      </w:r>
    </w:p>
    <w:p w14:paraId="35B8D3FD" w14:textId="05EDC4EF" w:rsidR="00D50CBE" w:rsidRDefault="00D50CBE" w:rsidP="00D50CBE">
      <w:pPr>
        <w:pStyle w:val="aa"/>
        <w:ind w:firstLine="567"/>
        <w:jc w:val="both"/>
        <w:rPr>
          <w:b w:val="0"/>
          <w:bCs w:val="0"/>
          <w:szCs w:val="28"/>
        </w:rPr>
      </w:pPr>
      <w:r w:rsidRPr="00126DD1">
        <w:rPr>
          <w:b w:val="0"/>
          <w:bCs w:val="0"/>
          <w:szCs w:val="28"/>
        </w:rPr>
        <w:t xml:space="preserve">Индекс потребительских цен на товары и услуги в Санкт-Петербурге </w:t>
      </w:r>
      <w:r w:rsidRPr="00126DD1">
        <w:rPr>
          <w:b w:val="0"/>
          <w:bCs w:val="0"/>
          <w:szCs w:val="28"/>
        </w:rPr>
        <w:br/>
        <w:t>в июне 2019 года составил 102,</w:t>
      </w:r>
      <w:r w:rsidR="00126DD1" w:rsidRPr="00126DD1">
        <w:rPr>
          <w:b w:val="0"/>
          <w:bCs w:val="0"/>
          <w:szCs w:val="28"/>
        </w:rPr>
        <w:t>5</w:t>
      </w:r>
      <w:r w:rsidRPr="00126DD1">
        <w:rPr>
          <w:b w:val="0"/>
          <w:bCs w:val="0"/>
          <w:szCs w:val="28"/>
        </w:rPr>
        <w:t>% к декабрю 201</w:t>
      </w:r>
      <w:r w:rsidR="00126DD1" w:rsidRPr="00126DD1">
        <w:rPr>
          <w:b w:val="0"/>
          <w:bCs w:val="0"/>
          <w:szCs w:val="28"/>
        </w:rPr>
        <w:t>9</w:t>
      </w:r>
      <w:r w:rsidRPr="00126DD1">
        <w:rPr>
          <w:b w:val="0"/>
          <w:bCs w:val="0"/>
          <w:szCs w:val="28"/>
        </w:rPr>
        <w:t>, по итогам июня прошлого года – 102,</w:t>
      </w:r>
      <w:r w:rsidR="00126DD1" w:rsidRPr="00126DD1">
        <w:rPr>
          <w:b w:val="0"/>
          <w:bCs w:val="0"/>
          <w:szCs w:val="28"/>
        </w:rPr>
        <w:t>8</w:t>
      </w:r>
      <w:r w:rsidRPr="00126DD1">
        <w:rPr>
          <w:b w:val="0"/>
          <w:bCs w:val="0"/>
          <w:szCs w:val="28"/>
        </w:rPr>
        <w:t>% к декабрю 201</w:t>
      </w:r>
      <w:r w:rsidR="00126DD1" w:rsidRPr="00126DD1">
        <w:rPr>
          <w:b w:val="0"/>
          <w:bCs w:val="0"/>
          <w:szCs w:val="28"/>
        </w:rPr>
        <w:t>8</w:t>
      </w:r>
      <w:r w:rsidRPr="00126DD1">
        <w:rPr>
          <w:b w:val="0"/>
          <w:bCs w:val="0"/>
          <w:szCs w:val="28"/>
        </w:rPr>
        <w:t xml:space="preserve"> года.</w:t>
      </w:r>
    </w:p>
    <w:p w14:paraId="344C2539" w14:textId="0250F599" w:rsidR="004436D7" w:rsidRDefault="00671550" w:rsidP="004436D7">
      <w:pPr>
        <w:pStyle w:val="aa"/>
        <w:ind w:firstLine="567"/>
        <w:jc w:val="both"/>
        <w:rPr>
          <w:b w:val="0"/>
          <w:szCs w:val="28"/>
        </w:rPr>
      </w:pPr>
      <w:r w:rsidRPr="00126DD1">
        <w:rPr>
          <w:b w:val="0"/>
          <w:bCs w:val="0"/>
          <w:szCs w:val="28"/>
        </w:rPr>
        <w:t xml:space="preserve">В </w:t>
      </w:r>
      <w:r w:rsidR="00C3421B">
        <w:rPr>
          <w:b w:val="0"/>
          <w:bCs w:val="0"/>
          <w:szCs w:val="28"/>
        </w:rPr>
        <w:t>июне</w:t>
      </w:r>
      <w:r w:rsidRPr="00126DD1">
        <w:rPr>
          <w:b w:val="0"/>
          <w:bCs w:val="0"/>
          <w:szCs w:val="28"/>
        </w:rPr>
        <w:t xml:space="preserve"> це</w:t>
      </w:r>
      <w:r w:rsidR="00C3421B">
        <w:rPr>
          <w:b w:val="0"/>
          <w:bCs w:val="0"/>
          <w:szCs w:val="28"/>
        </w:rPr>
        <w:t xml:space="preserve">ны на продовольственные товары </w:t>
      </w:r>
      <w:r w:rsidRPr="00126DD1">
        <w:rPr>
          <w:b w:val="0"/>
          <w:bCs w:val="0"/>
          <w:szCs w:val="28"/>
        </w:rPr>
        <w:t>в Санкт-Петербурге выросли</w:t>
      </w:r>
      <w:r w:rsidR="00C3421B">
        <w:rPr>
          <w:b w:val="0"/>
          <w:bCs w:val="0"/>
          <w:szCs w:val="28"/>
        </w:rPr>
        <w:br/>
      </w:r>
      <w:r w:rsidRPr="00126DD1">
        <w:rPr>
          <w:b w:val="0"/>
          <w:bCs w:val="0"/>
          <w:szCs w:val="28"/>
        </w:rPr>
        <w:t>на 4,6%, что на 0,9 процентных пункта вы</w:t>
      </w:r>
      <w:r w:rsidR="004436D7">
        <w:rPr>
          <w:b w:val="0"/>
          <w:bCs w:val="0"/>
          <w:szCs w:val="28"/>
        </w:rPr>
        <w:t>ше прироста потребительских цен</w:t>
      </w:r>
      <w:r w:rsidR="004436D7">
        <w:rPr>
          <w:b w:val="0"/>
          <w:bCs w:val="0"/>
          <w:szCs w:val="28"/>
        </w:rPr>
        <w:br/>
      </w:r>
      <w:r w:rsidRPr="00126DD1">
        <w:rPr>
          <w:b w:val="0"/>
          <w:bCs w:val="0"/>
          <w:szCs w:val="28"/>
        </w:rPr>
        <w:t>за аналогичный период 2019 года.</w:t>
      </w:r>
      <w:r w:rsidR="004436D7">
        <w:rPr>
          <w:b w:val="0"/>
          <w:bCs w:val="0"/>
          <w:szCs w:val="28"/>
        </w:rPr>
        <w:t xml:space="preserve"> Цены </w:t>
      </w:r>
      <w:r w:rsidR="004436D7" w:rsidRPr="004436D7">
        <w:rPr>
          <w:b w:val="0"/>
          <w:szCs w:val="28"/>
        </w:rPr>
        <w:t>на непродовольственные товары в июне</w:t>
      </w:r>
      <w:r w:rsidR="004436D7" w:rsidRPr="004436D7">
        <w:rPr>
          <w:b w:val="0"/>
          <w:szCs w:val="28"/>
        </w:rPr>
        <w:br/>
      </w:r>
      <w:r w:rsidR="004A45E9">
        <w:rPr>
          <w:b w:val="0"/>
          <w:bCs w:val="0"/>
          <w:szCs w:val="28"/>
        </w:rPr>
        <w:t xml:space="preserve">2020 года к декабрю 2019 года, как и в июне 2019 года к декабрю 2018 года, </w:t>
      </w:r>
      <w:r w:rsidR="004436D7" w:rsidRPr="00126DD1">
        <w:rPr>
          <w:b w:val="0"/>
          <w:bCs w:val="0"/>
          <w:szCs w:val="28"/>
        </w:rPr>
        <w:t>выросли</w:t>
      </w:r>
      <w:r w:rsidR="004436D7">
        <w:rPr>
          <w:b w:val="0"/>
          <w:bCs w:val="0"/>
          <w:szCs w:val="28"/>
        </w:rPr>
        <w:t xml:space="preserve"> </w:t>
      </w:r>
      <w:r w:rsidR="004436D7" w:rsidRPr="00126DD1">
        <w:rPr>
          <w:b w:val="0"/>
          <w:bCs w:val="0"/>
          <w:szCs w:val="28"/>
        </w:rPr>
        <w:t xml:space="preserve">на </w:t>
      </w:r>
      <w:r w:rsidR="004436D7">
        <w:rPr>
          <w:b w:val="0"/>
          <w:bCs w:val="0"/>
          <w:szCs w:val="28"/>
        </w:rPr>
        <w:t>1</w:t>
      </w:r>
      <w:r w:rsidR="004436D7" w:rsidRPr="00126DD1">
        <w:rPr>
          <w:b w:val="0"/>
          <w:bCs w:val="0"/>
          <w:szCs w:val="28"/>
        </w:rPr>
        <w:t>,6%</w:t>
      </w:r>
      <w:r w:rsidR="00F42BAE">
        <w:rPr>
          <w:b w:val="0"/>
          <w:bCs w:val="0"/>
          <w:szCs w:val="28"/>
        </w:rPr>
        <w:t>.</w:t>
      </w:r>
    </w:p>
    <w:p w14:paraId="06C34C94" w14:textId="4791D889" w:rsidR="00671550" w:rsidRPr="004436D7" w:rsidRDefault="004436D7" w:rsidP="004436D7">
      <w:pPr>
        <w:pStyle w:val="aa"/>
        <w:ind w:firstLine="567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Индекс потребительских цен </w:t>
      </w:r>
      <w:r w:rsidR="00671550" w:rsidRPr="004436D7">
        <w:rPr>
          <w:b w:val="0"/>
          <w:szCs w:val="28"/>
        </w:rPr>
        <w:t>на платные услуги населению в июне</w:t>
      </w:r>
      <w:r>
        <w:rPr>
          <w:b w:val="0"/>
          <w:szCs w:val="28"/>
        </w:rPr>
        <w:t xml:space="preserve"> </w:t>
      </w:r>
      <w:r w:rsidR="00671550" w:rsidRPr="004436D7">
        <w:rPr>
          <w:b w:val="0"/>
          <w:szCs w:val="28"/>
        </w:rPr>
        <w:t xml:space="preserve">составил 101,4% </w:t>
      </w:r>
      <w:r w:rsidRPr="004436D7">
        <w:rPr>
          <w:b w:val="0"/>
          <w:szCs w:val="28"/>
        </w:rPr>
        <w:t>к декабрю 2019 года</w:t>
      </w:r>
      <w:r>
        <w:rPr>
          <w:b w:val="0"/>
          <w:szCs w:val="28"/>
        </w:rPr>
        <w:t xml:space="preserve">, </w:t>
      </w:r>
      <w:r w:rsidRPr="00126DD1">
        <w:rPr>
          <w:b w:val="0"/>
          <w:bCs w:val="0"/>
          <w:szCs w:val="28"/>
        </w:rPr>
        <w:t xml:space="preserve">что на </w:t>
      </w:r>
      <w:r>
        <w:rPr>
          <w:b w:val="0"/>
          <w:bCs w:val="0"/>
          <w:szCs w:val="28"/>
        </w:rPr>
        <w:t>1,6</w:t>
      </w:r>
      <w:r w:rsidRPr="00126DD1">
        <w:rPr>
          <w:b w:val="0"/>
          <w:bCs w:val="0"/>
          <w:szCs w:val="28"/>
        </w:rPr>
        <w:t xml:space="preserve"> процентных пункта </w:t>
      </w:r>
      <w:r w:rsidR="00F42BAE">
        <w:rPr>
          <w:b w:val="0"/>
          <w:bCs w:val="0"/>
          <w:szCs w:val="28"/>
        </w:rPr>
        <w:t>ниже</w:t>
      </w:r>
      <w:r>
        <w:rPr>
          <w:b w:val="0"/>
          <w:bCs w:val="0"/>
          <w:szCs w:val="28"/>
        </w:rPr>
        <w:t xml:space="preserve"> прироста потребительских цен </w:t>
      </w:r>
      <w:r w:rsidRPr="00126DD1">
        <w:rPr>
          <w:b w:val="0"/>
          <w:bCs w:val="0"/>
          <w:szCs w:val="28"/>
        </w:rPr>
        <w:t>за аналогичный период 2019 года.</w:t>
      </w:r>
    </w:p>
    <w:p w14:paraId="38C20840" w14:textId="77777777" w:rsidR="00671550" w:rsidRPr="00126DD1" w:rsidRDefault="00671550" w:rsidP="00D50CBE">
      <w:pPr>
        <w:pStyle w:val="aa"/>
        <w:ind w:firstLine="567"/>
        <w:jc w:val="both"/>
        <w:rPr>
          <w:b w:val="0"/>
          <w:bCs w:val="0"/>
          <w:szCs w:val="28"/>
        </w:rPr>
      </w:pPr>
    </w:p>
    <w:p w14:paraId="10B3E47E" w14:textId="77777777" w:rsidR="00D50CBE" w:rsidRPr="00EE1D10" w:rsidRDefault="00D50CBE" w:rsidP="00D50CBE">
      <w:pPr>
        <w:pStyle w:val="a8"/>
        <w:ind w:firstLine="567"/>
        <w:rPr>
          <w:color w:val="FF0000"/>
          <w:szCs w:val="28"/>
        </w:rPr>
      </w:pPr>
      <w:r w:rsidRPr="00EE1D10">
        <w:rPr>
          <w:noProof/>
          <w:color w:val="FF0000"/>
          <w:szCs w:val="28"/>
        </w:rPr>
        <w:drawing>
          <wp:inline distT="0" distB="0" distL="0" distR="0" wp14:anchorId="50895D64" wp14:editId="2C9CCB9E">
            <wp:extent cx="5162550" cy="2819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516008" w14:textId="77777777" w:rsidR="00D50CBE" w:rsidRPr="00EE1D10" w:rsidRDefault="00D50CBE" w:rsidP="00C418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F1FD3D" w14:textId="77777777" w:rsidR="000B6F1F" w:rsidRDefault="000B6F1F" w:rsidP="007F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53D22" w14:textId="77777777" w:rsidR="000B6F1F" w:rsidRDefault="000B6F1F" w:rsidP="007F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31BB4" w14:textId="77777777" w:rsidR="000B6F1F" w:rsidRDefault="000B6F1F" w:rsidP="007F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DFDD5" w14:textId="77F71950" w:rsidR="007F3C63" w:rsidRPr="00126DD1" w:rsidRDefault="007F3C63" w:rsidP="007F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ВНЕШНЯЯ ТОРГОВЛЯ</w:t>
      </w:r>
    </w:p>
    <w:p w14:paraId="5B5F8F92" w14:textId="77777777" w:rsidR="007F3C63" w:rsidRPr="00EE1D10" w:rsidRDefault="007F3C63" w:rsidP="007F3C63">
      <w:pPr>
        <w:pStyle w:val="aa"/>
        <w:ind w:firstLine="708"/>
        <w:jc w:val="both"/>
        <w:rPr>
          <w:b w:val="0"/>
          <w:bCs w:val="0"/>
          <w:color w:val="FF0000"/>
          <w:sz w:val="20"/>
        </w:rPr>
      </w:pPr>
      <w:r w:rsidRPr="00EE1D10">
        <w:rPr>
          <w:b w:val="0"/>
          <w:bCs w:val="0"/>
          <w:color w:val="FF0000"/>
          <w:sz w:val="20"/>
        </w:rPr>
        <w:t xml:space="preserve"> </w:t>
      </w:r>
    </w:p>
    <w:p w14:paraId="7C13C0E8" w14:textId="00C55A85" w:rsidR="007F3C63" w:rsidRPr="004E6C10" w:rsidRDefault="007F3C63" w:rsidP="007F3C63">
      <w:pPr>
        <w:pStyle w:val="aa"/>
        <w:widowControl w:val="0"/>
        <w:ind w:firstLine="709"/>
        <w:jc w:val="both"/>
        <w:rPr>
          <w:b w:val="0"/>
          <w:bCs w:val="0"/>
          <w:szCs w:val="28"/>
        </w:rPr>
      </w:pPr>
      <w:r w:rsidRPr="004E6C10">
        <w:rPr>
          <w:b w:val="0"/>
          <w:bCs w:val="0"/>
          <w:szCs w:val="28"/>
        </w:rPr>
        <w:t>Внешнеторговый оборот Санкт-Петербурга за январь-</w:t>
      </w:r>
      <w:r w:rsidR="000A502C">
        <w:rPr>
          <w:b w:val="0"/>
          <w:bCs w:val="0"/>
          <w:szCs w:val="28"/>
        </w:rPr>
        <w:t>июнь</w:t>
      </w:r>
      <w:r w:rsidRPr="004E6C10">
        <w:rPr>
          <w:b w:val="0"/>
          <w:bCs w:val="0"/>
          <w:szCs w:val="28"/>
        </w:rPr>
        <w:t xml:space="preserve"> 20</w:t>
      </w:r>
      <w:r w:rsidR="00074502" w:rsidRPr="004E6C10">
        <w:rPr>
          <w:b w:val="0"/>
          <w:bCs w:val="0"/>
          <w:szCs w:val="28"/>
        </w:rPr>
        <w:t>20</w:t>
      </w:r>
      <w:r w:rsidRPr="004E6C10">
        <w:rPr>
          <w:b w:val="0"/>
          <w:bCs w:val="0"/>
          <w:szCs w:val="28"/>
        </w:rPr>
        <w:t xml:space="preserve"> года составил </w:t>
      </w:r>
      <w:r w:rsidR="000A502C">
        <w:rPr>
          <w:b w:val="0"/>
          <w:bCs w:val="0"/>
          <w:szCs w:val="28"/>
        </w:rPr>
        <w:t>20,8</w:t>
      </w:r>
      <w:r w:rsidRPr="004E6C10">
        <w:rPr>
          <w:b w:val="0"/>
          <w:bCs w:val="0"/>
          <w:szCs w:val="28"/>
        </w:rPr>
        <w:t xml:space="preserve"> млрд долларов США и по сравнению с аналогичным периодом 201</w:t>
      </w:r>
      <w:r w:rsidR="00074502" w:rsidRPr="004E6C10">
        <w:rPr>
          <w:b w:val="0"/>
          <w:bCs w:val="0"/>
          <w:szCs w:val="28"/>
        </w:rPr>
        <w:t>9</w:t>
      </w:r>
      <w:r w:rsidRPr="004E6C10">
        <w:rPr>
          <w:b w:val="0"/>
          <w:bCs w:val="0"/>
          <w:szCs w:val="28"/>
        </w:rPr>
        <w:t xml:space="preserve"> года у</w:t>
      </w:r>
      <w:r w:rsidR="004E6C10" w:rsidRPr="004E6C10">
        <w:rPr>
          <w:b w:val="0"/>
          <w:bCs w:val="0"/>
          <w:szCs w:val="28"/>
        </w:rPr>
        <w:t>меньш</w:t>
      </w:r>
      <w:r w:rsidRPr="004E6C10">
        <w:rPr>
          <w:b w:val="0"/>
          <w:bCs w:val="0"/>
          <w:szCs w:val="28"/>
        </w:rPr>
        <w:t xml:space="preserve">ился на </w:t>
      </w:r>
      <w:r w:rsidR="000A502C">
        <w:rPr>
          <w:b w:val="0"/>
          <w:bCs w:val="0"/>
          <w:szCs w:val="28"/>
        </w:rPr>
        <w:t>11,9</w:t>
      </w:r>
      <w:r w:rsidRPr="004E6C10">
        <w:rPr>
          <w:b w:val="0"/>
          <w:bCs w:val="0"/>
          <w:szCs w:val="28"/>
        </w:rPr>
        <w:t xml:space="preserve">%. Доля экспорта во внешнеторговом обороте составила </w:t>
      </w:r>
      <w:r w:rsidR="000A502C">
        <w:rPr>
          <w:b w:val="0"/>
          <w:bCs w:val="0"/>
          <w:szCs w:val="28"/>
        </w:rPr>
        <w:t>52,6</w:t>
      </w:r>
      <w:r w:rsidRPr="004E6C10">
        <w:rPr>
          <w:b w:val="0"/>
          <w:bCs w:val="0"/>
          <w:szCs w:val="28"/>
        </w:rPr>
        <w:t xml:space="preserve">%, импорта – </w:t>
      </w:r>
      <w:r w:rsidR="000A502C">
        <w:rPr>
          <w:b w:val="0"/>
          <w:bCs w:val="0"/>
          <w:szCs w:val="28"/>
        </w:rPr>
        <w:t>47,4</w:t>
      </w:r>
      <w:r w:rsidRPr="004E6C10">
        <w:rPr>
          <w:b w:val="0"/>
          <w:bCs w:val="0"/>
          <w:szCs w:val="28"/>
        </w:rPr>
        <w:t xml:space="preserve">%. </w:t>
      </w:r>
    </w:p>
    <w:p w14:paraId="1CDC8190" w14:textId="517CF03A" w:rsidR="007F3C63" w:rsidRDefault="007F3C63" w:rsidP="007F3C63">
      <w:pPr>
        <w:pStyle w:val="aa"/>
        <w:widowControl w:val="0"/>
        <w:ind w:firstLine="709"/>
        <w:jc w:val="both"/>
        <w:rPr>
          <w:b w:val="0"/>
          <w:bCs w:val="0"/>
          <w:szCs w:val="28"/>
        </w:rPr>
      </w:pPr>
      <w:r w:rsidRPr="004E6C10">
        <w:rPr>
          <w:b w:val="0"/>
          <w:bCs w:val="0"/>
          <w:szCs w:val="28"/>
        </w:rPr>
        <w:t xml:space="preserve">Сальдо торгового баланса сложилось положительное в размере </w:t>
      </w:r>
      <w:r w:rsidRPr="004E6C10">
        <w:rPr>
          <w:b w:val="0"/>
          <w:bCs w:val="0"/>
          <w:szCs w:val="28"/>
        </w:rPr>
        <w:br/>
      </w:r>
      <w:r w:rsidR="000A502C">
        <w:rPr>
          <w:b w:val="0"/>
          <w:bCs w:val="0"/>
          <w:szCs w:val="28"/>
        </w:rPr>
        <w:t>1,1 млрд</w:t>
      </w:r>
      <w:r w:rsidRPr="004E6C10">
        <w:rPr>
          <w:b w:val="0"/>
          <w:bCs w:val="0"/>
          <w:szCs w:val="28"/>
        </w:rPr>
        <w:t xml:space="preserve"> долларов США (в январе-</w:t>
      </w:r>
      <w:r w:rsidR="000A502C">
        <w:rPr>
          <w:b w:val="0"/>
          <w:bCs w:val="0"/>
          <w:szCs w:val="28"/>
        </w:rPr>
        <w:t>июне</w:t>
      </w:r>
      <w:r w:rsidRPr="004E6C10">
        <w:rPr>
          <w:b w:val="0"/>
          <w:bCs w:val="0"/>
          <w:szCs w:val="28"/>
        </w:rPr>
        <w:t xml:space="preserve"> 201</w:t>
      </w:r>
      <w:r w:rsidR="004E6C10" w:rsidRPr="004E6C10">
        <w:rPr>
          <w:b w:val="0"/>
          <w:bCs w:val="0"/>
          <w:szCs w:val="28"/>
        </w:rPr>
        <w:t>9</w:t>
      </w:r>
      <w:r w:rsidRPr="004E6C10">
        <w:rPr>
          <w:b w:val="0"/>
          <w:bCs w:val="0"/>
          <w:szCs w:val="28"/>
        </w:rPr>
        <w:t xml:space="preserve"> года – положительное в размере </w:t>
      </w:r>
      <w:r w:rsidRPr="004E6C10">
        <w:rPr>
          <w:b w:val="0"/>
          <w:bCs w:val="0"/>
          <w:szCs w:val="28"/>
        </w:rPr>
        <w:br/>
      </w:r>
      <w:r w:rsidR="000A502C">
        <w:rPr>
          <w:b w:val="0"/>
          <w:bCs w:val="0"/>
          <w:szCs w:val="28"/>
        </w:rPr>
        <w:t>1,7</w:t>
      </w:r>
      <w:r w:rsidRPr="004E6C10">
        <w:rPr>
          <w:b w:val="0"/>
          <w:bCs w:val="0"/>
          <w:szCs w:val="28"/>
        </w:rPr>
        <w:t xml:space="preserve"> мл</w:t>
      </w:r>
      <w:r w:rsidR="000A502C">
        <w:rPr>
          <w:b w:val="0"/>
          <w:bCs w:val="0"/>
          <w:szCs w:val="28"/>
        </w:rPr>
        <w:t>рд</w:t>
      </w:r>
      <w:r w:rsidRPr="004E6C10">
        <w:rPr>
          <w:b w:val="0"/>
          <w:bCs w:val="0"/>
          <w:szCs w:val="28"/>
        </w:rPr>
        <w:t xml:space="preserve"> долларов США).  </w:t>
      </w:r>
    </w:p>
    <w:p w14:paraId="453301F9" w14:textId="77777777" w:rsidR="000B3E1B" w:rsidRPr="004E6C10" w:rsidRDefault="000B3E1B" w:rsidP="007F3C63">
      <w:pPr>
        <w:pStyle w:val="aa"/>
        <w:widowControl w:val="0"/>
        <w:ind w:firstLine="709"/>
        <w:jc w:val="both"/>
        <w:rPr>
          <w:b w:val="0"/>
          <w:bCs w:val="0"/>
          <w:szCs w:val="28"/>
        </w:rPr>
      </w:pPr>
    </w:p>
    <w:p w14:paraId="03BFAC45" w14:textId="57078726" w:rsidR="007F3C63" w:rsidRPr="004E6C10" w:rsidRDefault="00715217" w:rsidP="007F3C63">
      <w:pPr>
        <w:pStyle w:val="aa"/>
        <w:spacing w:after="120"/>
        <w:ind w:left="4111"/>
        <w:rPr>
          <w:bCs w:val="0"/>
          <w:i/>
          <w:szCs w:val="28"/>
        </w:rPr>
      </w:pPr>
      <w:r w:rsidRPr="004E6C10">
        <w:rPr>
          <w:rFonts w:ascii="Verdana" w:hAnsi="Verdana"/>
          <w:b w:val="0"/>
          <w:noProof/>
          <w:sz w:val="16"/>
          <w:szCs w:val="16"/>
        </w:rPr>
        <w:drawing>
          <wp:anchor distT="0" distB="0" distL="114300" distR="114300" simplePos="0" relativeHeight="251698176" behindDoc="0" locked="0" layoutInCell="1" allowOverlap="1" wp14:anchorId="21E69EB9" wp14:editId="4C471670">
            <wp:simplePos x="0" y="0"/>
            <wp:positionH relativeFrom="margin">
              <wp:posOffset>204470</wp:posOffset>
            </wp:positionH>
            <wp:positionV relativeFrom="paragraph">
              <wp:posOffset>8255</wp:posOffset>
            </wp:positionV>
            <wp:extent cx="2771775" cy="3800475"/>
            <wp:effectExtent l="0" t="0" r="0" b="0"/>
            <wp:wrapSquare wrapText="bothSides"/>
            <wp:docPr id="2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63" w:rsidRPr="004E6C10">
        <w:rPr>
          <w:bCs w:val="0"/>
          <w:i/>
          <w:szCs w:val="28"/>
        </w:rPr>
        <w:t>Экспорт</w:t>
      </w:r>
    </w:p>
    <w:p w14:paraId="6B407934" w14:textId="4A4B66B5" w:rsidR="007F3C63" w:rsidRPr="004E6C10" w:rsidRDefault="00715217" w:rsidP="007F3C63">
      <w:pPr>
        <w:pStyle w:val="aa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Объем экспорта </w:t>
      </w:r>
      <w:r w:rsidR="007F3C63" w:rsidRPr="004E6C10">
        <w:rPr>
          <w:b w:val="0"/>
          <w:bCs w:val="0"/>
          <w:szCs w:val="28"/>
        </w:rPr>
        <w:t>в январе-</w:t>
      </w:r>
      <w:r w:rsidR="000A502C">
        <w:rPr>
          <w:b w:val="0"/>
          <w:bCs w:val="0"/>
          <w:szCs w:val="28"/>
        </w:rPr>
        <w:t>июне</w:t>
      </w:r>
      <w:r w:rsidR="007F3C63" w:rsidRPr="004E6C10">
        <w:rPr>
          <w:b w:val="0"/>
          <w:bCs w:val="0"/>
          <w:szCs w:val="28"/>
        </w:rPr>
        <w:t xml:space="preserve"> 20</w:t>
      </w:r>
      <w:r w:rsidR="004E6C10" w:rsidRPr="004E6C10">
        <w:rPr>
          <w:b w:val="0"/>
          <w:bCs w:val="0"/>
          <w:szCs w:val="28"/>
        </w:rPr>
        <w:t>20</w:t>
      </w:r>
      <w:r w:rsidR="007F3C63" w:rsidRPr="004E6C10">
        <w:rPr>
          <w:b w:val="0"/>
          <w:bCs w:val="0"/>
          <w:szCs w:val="28"/>
        </w:rPr>
        <w:t xml:space="preserve"> года составили </w:t>
      </w:r>
      <w:r w:rsidR="000A502C">
        <w:rPr>
          <w:b w:val="0"/>
          <w:bCs w:val="0"/>
          <w:szCs w:val="28"/>
        </w:rPr>
        <w:t>11,0</w:t>
      </w:r>
      <w:r w:rsidR="007F3C63" w:rsidRPr="004E6C10">
        <w:rPr>
          <w:b w:val="0"/>
          <w:bCs w:val="0"/>
          <w:szCs w:val="28"/>
        </w:rPr>
        <w:t xml:space="preserve"> млрд долларов США, что на </w:t>
      </w:r>
      <w:r w:rsidR="000A502C">
        <w:rPr>
          <w:b w:val="0"/>
          <w:bCs w:val="0"/>
          <w:szCs w:val="28"/>
        </w:rPr>
        <w:t>13,7</w:t>
      </w:r>
      <w:r w:rsidR="007F3C63" w:rsidRPr="004E6C10">
        <w:rPr>
          <w:b w:val="0"/>
          <w:bCs w:val="0"/>
          <w:szCs w:val="28"/>
        </w:rPr>
        <w:t xml:space="preserve">% </w:t>
      </w:r>
      <w:r w:rsidR="004E6C10" w:rsidRPr="004E6C10">
        <w:rPr>
          <w:b w:val="0"/>
          <w:bCs w:val="0"/>
          <w:szCs w:val="28"/>
        </w:rPr>
        <w:t>мен</w:t>
      </w:r>
      <w:r w:rsidR="007F3C63" w:rsidRPr="004E6C10">
        <w:rPr>
          <w:b w:val="0"/>
          <w:bCs w:val="0"/>
          <w:szCs w:val="28"/>
        </w:rPr>
        <w:t>ьше,</w:t>
      </w:r>
      <w:r w:rsidR="005B35BF">
        <w:rPr>
          <w:b w:val="0"/>
          <w:bCs w:val="0"/>
          <w:szCs w:val="28"/>
        </w:rPr>
        <w:t xml:space="preserve"> </w:t>
      </w:r>
      <w:r w:rsidR="005B35BF">
        <w:rPr>
          <w:b w:val="0"/>
          <w:bCs w:val="0"/>
          <w:szCs w:val="28"/>
        </w:rPr>
        <w:br/>
      </w:r>
      <w:r w:rsidR="007F3C63" w:rsidRPr="004E6C10">
        <w:rPr>
          <w:b w:val="0"/>
          <w:bCs w:val="0"/>
          <w:szCs w:val="28"/>
        </w:rPr>
        <w:t>чем в январе-</w:t>
      </w:r>
      <w:r w:rsidR="000A502C">
        <w:rPr>
          <w:b w:val="0"/>
          <w:bCs w:val="0"/>
          <w:szCs w:val="28"/>
        </w:rPr>
        <w:t>июне</w:t>
      </w:r>
      <w:r w:rsidR="007F3C63" w:rsidRPr="004E6C10">
        <w:rPr>
          <w:b w:val="0"/>
          <w:bCs w:val="0"/>
          <w:szCs w:val="28"/>
        </w:rPr>
        <w:t xml:space="preserve"> 201</w:t>
      </w:r>
      <w:r w:rsidR="004E6C10" w:rsidRPr="004E6C10">
        <w:rPr>
          <w:b w:val="0"/>
          <w:bCs w:val="0"/>
          <w:szCs w:val="28"/>
        </w:rPr>
        <w:t>9</w:t>
      </w:r>
      <w:r w:rsidR="007F3C63" w:rsidRPr="004E6C10">
        <w:rPr>
          <w:b w:val="0"/>
          <w:bCs w:val="0"/>
          <w:szCs w:val="28"/>
        </w:rPr>
        <w:t xml:space="preserve"> года. </w:t>
      </w:r>
    </w:p>
    <w:p w14:paraId="0D578751" w14:textId="5008F520" w:rsidR="004E6C10" w:rsidRPr="004E6C10" w:rsidRDefault="004E6C10" w:rsidP="004E6C10">
      <w:pPr>
        <w:pStyle w:val="aa"/>
        <w:ind w:firstLine="567"/>
        <w:jc w:val="both"/>
        <w:rPr>
          <w:b w:val="0"/>
          <w:bCs w:val="0"/>
          <w:szCs w:val="28"/>
        </w:rPr>
      </w:pPr>
      <w:r w:rsidRPr="004E6C10">
        <w:rPr>
          <w:b w:val="0"/>
          <w:bCs w:val="0"/>
          <w:szCs w:val="28"/>
        </w:rPr>
        <w:t xml:space="preserve">На отрицательную динамику экспорта повлияло снижение объемов поставок по товарным группам «Кожевенное сырье, пушнина и изделия из них» </w:t>
      </w:r>
      <w:r w:rsidR="000A502C" w:rsidRPr="004E6C10">
        <w:rPr>
          <w:b w:val="0"/>
          <w:bCs w:val="0"/>
          <w:szCs w:val="28"/>
        </w:rPr>
        <w:t>–</w:t>
      </w:r>
      <w:r w:rsidRPr="004E6C10">
        <w:rPr>
          <w:b w:val="0"/>
          <w:bCs w:val="0"/>
          <w:szCs w:val="28"/>
        </w:rPr>
        <w:t xml:space="preserve"> на </w:t>
      </w:r>
      <w:r w:rsidR="000A502C">
        <w:rPr>
          <w:b w:val="0"/>
          <w:bCs w:val="0"/>
          <w:szCs w:val="28"/>
        </w:rPr>
        <w:t>58,9</w:t>
      </w:r>
      <w:r w:rsidRPr="004E6C10">
        <w:rPr>
          <w:b w:val="0"/>
          <w:bCs w:val="0"/>
          <w:szCs w:val="28"/>
        </w:rPr>
        <w:t xml:space="preserve">%, «Минеральные продукты» – на </w:t>
      </w:r>
      <w:r w:rsidR="000A502C">
        <w:rPr>
          <w:b w:val="0"/>
          <w:bCs w:val="0"/>
          <w:szCs w:val="28"/>
        </w:rPr>
        <w:t>21,9</w:t>
      </w:r>
      <w:r w:rsidRPr="004E6C10">
        <w:rPr>
          <w:b w:val="0"/>
          <w:bCs w:val="0"/>
          <w:szCs w:val="28"/>
        </w:rPr>
        <w:t xml:space="preserve">%, «Древесина </w:t>
      </w:r>
      <w:r w:rsidR="00715217">
        <w:rPr>
          <w:b w:val="0"/>
          <w:bCs w:val="0"/>
          <w:szCs w:val="28"/>
        </w:rPr>
        <w:br/>
      </w:r>
      <w:r w:rsidRPr="004E6C10">
        <w:rPr>
          <w:b w:val="0"/>
          <w:bCs w:val="0"/>
          <w:szCs w:val="28"/>
        </w:rPr>
        <w:t xml:space="preserve">и целлюлозно-бумажные изделия» – </w:t>
      </w:r>
      <w:r w:rsidR="00715217">
        <w:rPr>
          <w:b w:val="0"/>
          <w:bCs w:val="0"/>
          <w:szCs w:val="28"/>
        </w:rPr>
        <w:br/>
      </w:r>
      <w:r w:rsidRPr="004E6C10">
        <w:rPr>
          <w:b w:val="0"/>
          <w:bCs w:val="0"/>
          <w:szCs w:val="28"/>
        </w:rPr>
        <w:t xml:space="preserve">на </w:t>
      </w:r>
      <w:r w:rsidR="000A502C">
        <w:rPr>
          <w:b w:val="0"/>
          <w:bCs w:val="0"/>
          <w:szCs w:val="28"/>
        </w:rPr>
        <w:t>20,2</w:t>
      </w:r>
      <w:r w:rsidRPr="004E6C10">
        <w:rPr>
          <w:b w:val="0"/>
          <w:bCs w:val="0"/>
          <w:szCs w:val="28"/>
        </w:rPr>
        <w:t xml:space="preserve">%, «Металлы и изделия </w:t>
      </w:r>
      <w:r w:rsidR="000A502C">
        <w:rPr>
          <w:b w:val="0"/>
          <w:bCs w:val="0"/>
          <w:szCs w:val="28"/>
        </w:rPr>
        <w:br/>
      </w:r>
      <w:r w:rsidRPr="004E6C10">
        <w:rPr>
          <w:b w:val="0"/>
          <w:bCs w:val="0"/>
          <w:szCs w:val="28"/>
        </w:rPr>
        <w:t xml:space="preserve">из них» </w:t>
      </w:r>
      <w:r w:rsidR="000A502C" w:rsidRPr="004E6C10">
        <w:rPr>
          <w:b w:val="0"/>
          <w:bCs w:val="0"/>
          <w:szCs w:val="28"/>
        </w:rPr>
        <w:t>–</w:t>
      </w:r>
      <w:r w:rsidRPr="004E6C10">
        <w:rPr>
          <w:b w:val="0"/>
          <w:bCs w:val="0"/>
          <w:szCs w:val="28"/>
        </w:rPr>
        <w:t xml:space="preserve"> на </w:t>
      </w:r>
      <w:r w:rsidR="000A502C">
        <w:rPr>
          <w:b w:val="0"/>
          <w:bCs w:val="0"/>
          <w:szCs w:val="28"/>
        </w:rPr>
        <w:t>17,6</w:t>
      </w:r>
      <w:r w:rsidRPr="004E6C10">
        <w:rPr>
          <w:b w:val="0"/>
          <w:bCs w:val="0"/>
          <w:szCs w:val="28"/>
        </w:rPr>
        <w:t xml:space="preserve">%,  «Продукция химической промышленности, каучук» </w:t>
      </w:r>
      <w:r w:rsidR="000A502C" w:rsidRPr="004E6C10">
        <w:rPr>
          <w:b w:val="0"/>
          <w:bCs w:val="0"/>
          <w:szCs w:val="28"/>
        </w:rPr>
        <w:t>–</w:t>
      </w:r>
      <w:r w:rsidR="00715217">
        <w:rPr>
          <w:b w:val="0"/>
          <w:bCs w:val="0"/>
          <w:szCs w:val="28"/>
        </w:rPr>
        <w:t xml:space="preserve"> </w:t>
      </w:r>
      <w:r w:rsidRPr="004E6C10">
        <w:rPr>
          <w:b w:val="0"/>
          <w:bCs w:val="0"/>
          <w:szCs w:val="28"/>
        </w:rPr>
        <w:t xml:space="preserve">на </w:t>
      </w:r>
      <w:r w:rsidR="000A502C">
        <w:rPr>
          <w:b w:val="0"/>
          <w:bCs w:val="0"/>
          <w:szCs w:val="28"/>
        </w:rPr>
        <w:t>3,3</w:t>
      </w:r>
      <w:r w:rsidRPr="004E6C10">
        <w:rPr>
          <w:b w:val="0"/>
          <w:bCs w:val="0"/>
          <w:szCs w:val="28"/>
        </w:rPr>
        <w:t>%.</w:t>
      </w:r>
    </w:p>
    <w:p w14:paraId="1A922E7A" w14:textId="380D3C44" w:rsidR="007F3C63" w:rsidRDefault="004E6C10" w:rsidP="004E6C10">
      <w:pPr>
        <w:pStyle w:val="aa"/>
        <w:ind w:firstLine="567"/>
        <w:jc w:val="both"/>
        <w:rPr>
          <w:b w:val="0"/>
          <w:bCs w:val="0"/>
          <w:szCs w:val="28"/>
        </w:rPr>
      </w:pPr>
      <w:r w:rsidRPr="004E6C10">
        <w:rPr>
          <w:b w:val="0"/>
          <w:bCs w:val="0"/>
          <w:szCs w:val="28"/>
        </w:rPr>
        <w:t xml:space="preserve">При этом наблюдается рост объемов поставок по товарным группам </w:t>
      </w:r>
      <w:r w:rsidR="000A502C" w:rsidRPr="004E6C10">
        <w:rPr>
          <w:b w:val="0"/>
          <w:bCs w:val="0"/>
          <w:szCs w:val="28"/>
        </w:rPr>
        <w:t xml:space="preserve">«Продовольственные товары </w:t>
      </w:r>
      <w:r w:rsidR="00F04A59">
        <w:rPr>
          <w:b w:val="0"/>
          <w:bCs w:val="0"/>
          <w:szCs w:val="28"/>
        </w:rPr>
        <w:br/>
      </w:r>
      <w:r w:rsidR="000A502C" w:rsidRPr="004E6C10">
        <w:rPr>
          <w:b w:val="0"/>
          <w:bCs w:val="0"/>
          <w:szCs w:val="28"/>
        </w:rPr>
        <w:t xml:space="preserve">и сельскохозяйственное сырье» – на </w:t>
      </w:r>
      <w:r w:rsidR="000A502C">
        <w:rPr>
          <w:b w:val="0"/>
          <w:bCs w:val="0"/>
          <w:szCs w:val="28"/>
        </w:rPr>
        <w:t>13,4</w:t>
      </w:r>
      <w:r w:rsidR="000A502C" w:rsidRPr="004E6C10">
        <w:rPr>
          <w:b w:val="0"/>
          <w:bCs w:val="0"/>
          <w:szCs w:val="28"/>
        </w:rPr>
        <w:t xml:space="preserve">%, </w:t>
      </w:r>
      <w:r w:rsidRPr="004E6C10">
        <w:rPr>
          <w:b w:val="0"/>
          <w:bCs w:val="0"/>
          <w:szCs w:val="28"/>
        </w:rPr>
        <w:t>«Машины, оборудование</w:t>
      </w:r>
      <w:r w:rsidR="00F04A59">
        <w:rPr>
          <w:b w:val="0"/>
          <w:bCs w:val="0"/>
          <w:szCs w:val="28"/>
        </w:rPr>
        <w:br/>
      </w:r>
      <w:r w:rsidRPr="004E6C10">
        <w:rPr>
          <w:b w:val="0"/>
          <w:bCs w:val="0"/>
          <w:szCs w:val="28"/>
        </w:rPr>
        <w:t xml:space="preserve">и транспортные средства» – на </w:t>
      </w:r>
      <w:r w:rsidR="000A502C">
        <w:rPr>
          <w:b w:val="0"/>
          <w:bCs w:val="0"/>
          <w:szCs w:val="28"/>
        </w:rPr>
        <w:t>8,2</w:t>
      </w:r>
      <w:r w:rsidRPr="004E6C10">
        <w:rPr>
          <w:b w:val="0"/>
          <w:bCs w:val="0"/>
          <w:szCs w:val="28"/>
        </w:rPr>
        <w:t xml:space="preserve">%, «Текстиль, текстильные изделия и обувь» – на </w:t>
      </w:r>
      <w:r w:rsidR="000A502C">
        <w:rPr>
          <w:b w:val="0"/>
          <w:bCs w:val="0"/>
          <w:szCs w:val="28"/>
        </w:rPr>
        <w:t>8,1</w:t>
      </w:r>
      <w:r w:rsidRPr="004E6C10">
        <w:rPr>
          <w:b w:val="0"/>
          <w:bCs w:val="0"/>
          <w:szCs w:val="28"/>
        </w:rPr>
        <w:t>%.</w:t>
      </w:r>
    </w:p>
    <w:p w14:paraId="308A4726" w14:textId="7433EB0D" w:rsidR="004436D7" w:rsidRPr="004E6C10" w:rsidRDefault="004436D7" w:rsidP="004E6C10">
      <w:pPr>
        <w:pStyle w:val="aa"/>
        <w:ind w:firstLine="567"/>
        <w:jc w:val="both"/>
        <w:rPr>
          <w:b w:val="0"/>
          <w:bCs w:val="0"/>
          <w:szCs w:val="28"/>
        </w:rPr>
      </w:pPr>
      <w:r w:rsidRPr="004436D7">
        <w:rPr>
          <w:b w:val="0"/>
          <w:bCs w:val="0"/>
          <w:szCs w:val="28"/>
        </w:rPr>
        <w:t>Наибольшую долю в экспорте составляют товарные группы: «Минеральные продукты» – 65,9%, «Машины, оборудование и транспортные средства» – 10,3%, «Металлы и изделия из них» – 6,2%, «Продов</w:t>
      </w:r>
      <w:r>
        <w:rPr>
          <w:b w:val="0"/>
          <w:bCs w:val="0"/>
          <w:szCs w:val="28"/>
        </w:rPr>
        <w:t>ольственные товары</w:t>
      </w:r>
      <w:r>
        <w:rPr>
          <w:b w:val="0"/>
          <w:bCs w:val="0"/>
          <w:szCs w:val="28"/>
        </w:rPr>
        <w:br/>
      </w:r>
      <w:r w:rsidRPr="004436D7">
        <w:rPr>
          <w:b w:val="0"/>
          <w:bCs w:val="0"/>
          <w:szCs w:val="28"/>
        </w:rPr>
        <w:t>и сельскохозяйственное сырье» – 4,6%.</w:t>
      </w:r>
    </w:p>
    <w:p w14:paraId="1E31165C" w14:textId="77777777" w:rsidR="000B6F1F" w:rsidRDefault="000B6F1F" w:rsidP="007F3C63">
      <w:pPr>
        <w:pStyle w:val="aa"/>
        <w:spacing w:before="120" w:after="120"/>
        <w:ind w:left="4111"/>
        <w:rPr>
          <w:bCs w:val="0"/>
          <w:i/>
          <w:szCs w:val="28"/>
        </w:rPr>
      </w:pPr>
    </w:p>
    <w:p w14:paraId="42B5E4E9" w14:textId="77777777" w:rsidR="000B6F1F" w:rsidRDefault="000B6F1F" w:rsidP="007F3C63">
      <w:pPr>
        <w:pStyle w:val="aa"/>
        <w:spacing w:before="120" w:after="120"/>
        <w:ind w:left="4111"/>
        <w:rPr>
          <w:bCs w:val="0"/>
          <w:i/>
          <w:szCs w:val="28"/>
        </w:rPr>
      </w:pPr>
    </w:p>
    <w:p w14:paraId="57F7E741" w14:textId="77777777" w:rsidR="000B6F1F" w:rsidRDefault="000B6F1F" w:rsidP="007F3C63">
      <w:pPr>
        <w:pStyle w:val="aa"/>
        <w:spacing w:before="120" w:after="120"/>
        <w:ind w:left="4111"/>
        <w:rPr>
          <w:bCs w:val="0"/>
          <w:i/>
          <w:szCs w:val="28"/>
        </w:rPr>
      </w:pPr>
    </w:p>
    <w:p w14:paraId="3D5F68A4" w14:textId="77777777" w:rsidR="000B6F1F" w:rsidRDefault="000B6F1F" w:rsidP="007F3C63">
      <w:pPr>
        <w:pStyle w:val="aa"/>
        <w:spacing w:before="120" w:after="120"/>
        <w:ind w:left="4111"/>
        <w:rPr>
          <w:bCs w:val="0"/>
          <w:i/>
          <w:szCs w:val="28"/>
        </w:rPr>
      </w:pPr>
    </w:p>
    <w:p w14:paraId="3BCDEFFA" w14:textId="77777777" w:rsidR="000B6F1F" w:rsidRDefault="000B6F1F" w:rsidP="007F3C63">
      <w:pPr>
        <w:pStyle w:val="aa"/>
        <w:spacing w:before="120" w:after="120"/>
        <w:ind w:left="4111"/>
        <w:rPr>
          <w:bCs w:val="0"/>
          <w:i/>
          <w:szCs w:val="28"/>
        </w:rPr>
      </w:pPr>
    </w:p>
    <w:p w14:paraId="43375EA7" w14:textId="77777777" w:rsidR="000B6F1F" w:rsidRDefault="000B6F1F" w:rsidP="007F3C63">
      <w:pPr>
        <w:pStyle w:val="aa"/>
        <w:spacing w:before="120" w:after="120"/>
        <w:ind w:left="4111"/>
        <w:rPr>
          <w:bCs w:val="0"/>
          <w:i/>
          <w:szCs w:val="28"/>
        </w:rPr>
      </w:pPr>
    </w:p>
    <w:p w14:paraId="292E5380" w14:textId="667C2229" w:rsidR="007F3C63" w:rsidRPr="004E6C10" w:rsidRDefault="007F3C63" w:rsidP="007F3C63">
      <w:pPr>
        <w:pStyle w:val="aa"/>
        <w:spacing w:before="120" w:after="120"/>
        <w:ind w:left="4111"/>
        <w:rPr>
          <w:bCs w:val="0"/>
          <w:i/>
          <w:szCs w:val="28"/>
        </w:rPr>
      </w:pPr>
      <w:r w:rsidRPr="004E6C10">
        <w:rPr>
          <w:bCs w:val="0"/>
          <w:i/>
          <w:szCs w:val="28"/>
        </w:rPr>
        <w:t>Импорт</w:t>
      </w:r>
    </w:p>
    <w:p w14:paraId="7146126A" w14:textId="12B7DB62" w:rsidR="007F3C63" w:rsidRPr="00EE1D10" w:rsidRDefault="000B6F1F" w:rsidP="007F3C63">
      <w:pPr>
        <w:pStyle w:val="aa"/>
        <w:ind w:firstLine="708"/>
        <w:jc w:val="both"/>
        <w:rPr>
          <w:b w:val="0"/>
          <w:bCs w:val="0"/>
          <w:color w:val="FF0000"/>
          <w:szCs w:val="28"/>
        </w:rPr>
      </w:pPr>
      <w:r w:rsidRPr="004E6C10">
        <w:rPr>
          <w:b w:val="0"/>
          <w:bCs w:val="0"/>
          <w:noProof/>
          <w:szCs w:val="28"/>
        </w:rPr>
        <w:drawing>
          <wp:anchor distT="0" distB="0" distL="114300" distR="114300" simplePos="0" relativeHeight="251699200" behindDoc="0" locked="0" layoutInCell="1" allowOverlap="1" wp14:anchorId="3C42CD7D" wp14:editId="091E7AB5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2769870" cy="3726180"/>
            <wp:effectExtent l="0" t="0" r="0" b="7620"/>
            <wp:wrapSquare wrapText="bothSides"/>
            <wp:docPr id="3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63" w:rsidRPr="004E6C10">
        <w:rPr>
          <w:b w:val="0"/>
          <w:bCs w:val="0"/>
          <w:noProof/>
          <w:szCs w:val="28"/>
          <w:lang w:eastAsia="en-US"/>
        </w:rPr>
        <w:t xml:space="preserve">Объем импорта сократился на </w:t>
      </w:r>
      <w:r w:rsidR="004E6C10" w:rsidRPr="004E6C10">
        <w:rPr>
          <w:b w:val="0"/>
          <w:bCs w:val="0"/>
          <w:noProof/>
          <w:szCs w:val="28"/>
          <w:lang w:eastAsia="en-US"/>
        </w:rPr>
        <w:t>9</w:t>
      </w:r>
      <w:r w:rsidR="002A6659">
        <w:rPr>
          <w:b w:val="0"/>
          <w:bCs w:val="0"/>
          <w:noProof/>
          <w:szCs w:val="28"/>
          <w:lang w:eastAsia="en-US"/>
        </w:rPr>
        <w:t>,9</w:t>
      </w:r>
      <w:r w:rsidR="007F3C63" w:rsidRPr="004E6C10">
        <w:rPr>
          <w:b w:val="0"/>
          <w:bCs w:val="0"/>
          <w:noProof/>
          <w:szCs w:val="28"/>
          <w:lang w:eastAsia="en-US"/>
        </w:rPr>
        <w:t>% относительно января-</w:t>
      </w:r>
      <w:r w:rsidR="002A6659">
        <w:rPr>
          <w:b w:val="0"/>
          <w:bCs w:val="0"/>
          <w:noProof/>
          <w:szCs w:val="28"/>
          <w:lang w:eastAsia="en-US"/>
        </w:rPr>
        <w:t>июня</w:t>
      </w:r>
      <w:r w:rsidR="007F3C63" w:rsidRPr="004E6C10">
        <w:rPr>
          <w:b w:val="0"/>
          <w:bCs w:val="0"/>
          <w:noProof/>
          <w:szCs w:val="28"/>
          <w:lang w:eastAsia="en-US"/>
        </w:rPr>
        <w:t xml:space="preserve"> предыдущего года и составил </w:t>
      </w:r>
      <w:r w:rsidR="002A6659">
        <w:rPr>
          <w:b w:val="0"/>
          <w:bCs w:val="0"/>
          <w:noProof/>
          <w:szCs w:val="28"/>
          <w:lang w:eastAsia="en-US"/>
        </w:rPr>
        <w:t>9,9</w:t>
      </w:r>
      <w:r w:rsidR="007F3C63" w:rsidRPr="004E6C10">
        <w:rPr>
          <w:b w:val="0"/>
          <w:bCs w:val="0"/>
          <w:noProof/>
          <w:szCs w:val="28"/>
          <w:lang w:eastAsia="en-US"/>
        </w:rPr>
        <w:t xml:space="preserve"> млрд долларов США</w:t>
      </w:r>
      <w:r w:rsidR="007F3C63" w:rsidRPr="004E6C10">
        <w:rPr>
          <w:b w:val="0"/>
          <w:bCs w:val="0"/>
          <w:szCs w:val="28"/>
        </w:rPr>
        <w:t>.</w:t>
      </w:r>
    </w:p>
    <w:p w14:paraId="7B976278" w14:textId="6D651FB3" w:rsidR="004E6C10" w:rsidRPr="004E6C10" w:rsidRDefault="004E6C10" w:rsidP="002A6659">
      <w:pPr>
        <w:pStyle w:val="aa"/>
        <w:ind w:firstLine="708"/>
        <w:jc w:val="both"/>
        <w:rPr>
          <w:b w:val="0"/>
          <w:bCs w:val="0"/>
          <w:szCs w:val="28"/>
        </w:rPr>
      </w:pPr>
      <w:r w:rsidRPr="004E6C10">
        <w:rPr>
          <w:b w:val="0"/>
          <w:bCs w:val="0"/>
          <w:szCs w:val="28"/>
        </w:rPr>
        <w:t xml:space="preserve">Снижение импорта произошло </w:t>
      </w:r>
      <w:r w:rsidRPr="004E6C10">
        <w:rPr>
          <w:b w:val="0"/>
          <w:bCs w:val="0"/>
          <w:szCs w:val="28"/>
        </w:rPr>
        <w:br/>
        <w:t xml:space="preserve">в категориях «Кожевенное сырье, пушнина и изделия из них» – на </w:t>
      </w:r>
      <w:r w:rsidR="002A6659">
        <w:rPr>
          <w:b w:val="0"/>
          <w:bCs w:val="0"/>
          <w:szCs w:val="28"/>
        </w:rPr>
        <w:t>43,7</w:t>
      </w:r>
      <w:r w:rsidRPr="004E6C10">
        <w:rPr>
          <w:b w:val="0"/>
          <w:bCs w:val="0"/>
          <w:szCs w:val="28"/>
        </w:rPr>
        <w:t xml:space="preserve">%, «Металлы и изделия из них» - на </w:t>
      </w:r>
      <w:r w:rsidR="002A6659">
        <w:rPr>
          <w:b w:val="0"/>
          <w:bCs w:val="0"/>
          <w:szCs w:val="28"/>
        </w:rPr>
        <w:t>27,8</w:t>
      </w:r>
      <w:r w:rsidRPr="004E6C10">
        <w:rPr>
          <w:b w:val="0"/>
          <w:bCs w:val="0"/>
          <w:szCs w:val="28"/>
        </w:rPr>
        <w:t xml:space="preserve">%, «Продовольственные товары </w:t>
      </w:r>
      <w:r w:rsidR="002A6659">
        <w:rPr>
          <w:b w:val="0"/>
          <w:bCs w:val="0"/>
          <w:szCs w:val="28"/>
        </w:rPr>
        <w:br/>
      </w:r>
      <w:r w:rsidRPr="004E6C10">
        <w:rPr>
          <w:b w:val="0"/>
          <w:bCs w:val="0"/>
          <w:szCs w:val="28"/>
        </w:rPr>
        <w:t xml:space="preserve">и сельскохозяйственное сырье» – на </w:t>
      </w:r>
      <w:r w:rsidR="002A6659">
        <w:rPr>
          <w:b w:val="0"/>
          <w:bCs w:val="0"/>
          <w:szCs w:val="28"/>
        </w:rPr>
        <w:t>9,7</w:t>
      </w:r>
      <w:r w:rsidRPr="004E6C10">
        <w:rPr>
          <w:b w:val="0"/>
          <w:bCs w:val="0"/>
          <w:szCs w:val="28"/>
        </w:rPr>
        <w:t xml:space="preserve">%, «Машины, оборудование и транспортные средства» – </w:t>
      </w:r>
      <w:r w:rsidR="002A6659">
        <w:rPr>
          <w:b w:val="0"/>
          <w:bCs w:val="0"/>
          <w:szCs w:val="28"/>
        </w:rPr>
        <w:t>8,0</w:t>
      </w:r>
      <w:r w:rsidRPr="004E6C10">
        <w:rPr>
          <w:b w:val="0"/>
          <w:bCs w:val="0"/>
          <w:szCs w:val="28"/>
        </w:rPr>
        <w:t>%,</w:t>
      </w:r>
      <w:r w:rsidR="002A6659">
        <w:rPr>
          <w:b w:val="0"/>
          <w:bCs w:val="0"/>
          <w:szCs w:val="28"/>
        </w:rPr>
        <w:t xml:space="preserve"> </w:t>
      </w:r>
      <w:r w:rsidR="002A6659" w:rsidRPr="004E6C10">
        <w:rPr>
          <w:b w:val="0"/>
          <w:bCs w:val="0"/>
          <w:szCs w:val="28"/>
        </w:rPr>
        <w:t xml:space="preserve">«Древесина </w:t>
      </w:r>
      <w:r w:rsidR="002A6659">
        <w:rPr>
          <w:b w:val="0"/>
          <w:bCs w:val="0"/>
          <w:szCs w:val="28"/>
        </w:rPr>
        <w:br/>
      </w:r>
      <w:r w:rsidR="002A6659" w:rsidRPr="004E6C10">
        <w:rPr>
          <w:b w:val="0"/>
          <w:bCs w:val="0"/>
          <w:szCs w:val="28"/>
        </w:rPr>
        <w:t xml:space="preserve">и целлюлозно-бумажные изделия» - </w:t>
      </w:r>
      <w:r w:rsidR="002A6659">
        <w:rPr>
          <w:b w:val="0"/>
          <w:bCs w:val="0"/>
          <w:szCs w:val="28"/>
        </w:rPr>
        <w:t>5,2</w:t>
      </w:r>
      <w:r w:rsidR="002A6659" w:rsidRPr="004E6C10">
        <w:rPr>
          <w:b w:val="0"/>
          <w:bCs w:val="0"/>
          <w:szCs w:val="28"/>
        </w:rPr>
        <w:t xml:space="preserve">%, </w:t>
      </w:r>
      <w:r w:rsidRPr="004E6C10">
        <w:rPr>
          <w:b w:val="0"/>
          <w:bCs w:val="0"/>
          <w:szCs w:val="28"/>
        </w:rPr>
        <w:t xml:space="preserve"> «Продукция химической</w:t>
      </w:r>
      <w:r w:rsidR="002A6659">
        <w:rPr>
          <w:b w:val="0"/>
          <w:bCs w:val="0"/>
          <w:szCs w:val="28"/>
        </w:rPr>
        <w:t xml:space="preserve"> </w:t>
      </w:r>
      <w:r w:rsidR="00D160FC">
        <w:rPr>
          <w:b w:val="0"/>
          <w:bCs w:val="0"/>
          <w:szCs w:val="28"/>
        </w:rPr>
        <w:t>п</w:t>
      </w:r>
      <w:r w:rsidRPr="004E6C10">
        <w:rPr>
          <w:b w:val="0"/>
          <w:bCs w:val="0"/>
          <w:szCs w:val="28"/>
        </w:rPr>
        <w:t xml:space="preserve">ромышленности, каучук» – </w:t>
      </w:r>
      <w:r w:rsidR="002A6659">
        <w:rPr>
          <w:b w:val="0"/>
          <w:bCs w:val="0"/>
          <w:szCs w:val="28"/>
        </w:rPr>
        <w:t>4,2</w:t>
      </w:r>
      <w:r w:rsidRPr="004E6C10">
        <w:rPr>
          <w:b w:val="0"/>
          <w:bCs w:val="0"/>
          <w:szCs w:val="28"/>
        </w:rPr>
        <w:t xml:space="preserve">%, </w:t>
      </w:r>
      <w:r w:rsidR="002A6659" w:rsidRPr="004E6C10">
        <w:rPr>
          <w:b w:val="0"/>
          <w:bCs w:val="0"/>
          <w:szCs w:val="28"/>
        </w:rPr>
        <w:t xml:space="preserve">«Минеральные продукты» – </w:t>
      </w:r>
      <w:r w:rsidR="002A6659">
        <w:rPr>
          <w:b w:val="0"/>
          <w:bCs w:val="0"/>
          <w:szCs w:val="28"/>
        </w:rPr>
        <w:t xml:space="preserve">3,9%, </w:t>
      </w:r>
      <w:r w:rsidRPr="004E6C10">
        <w:rPr>
          <w:b w:val="0"/>
          <w:bCs w:val="0"/>
          <w:szCs w:val="28"/>
        </w:rPr>
        <w:t xml:space="preserve">«Текстиль, текстильные изделия и обувь» – на </w:t>
      </w:r>
      <w:r w:rsidR="002A6659">
        <w:rPr>
          <w:b w:val="0"/>
          <w:bCs w:val="0"/>
          <w:szCs w:val="28"/>
        </w:rPr>
        <w:t>3,6%.</w:t>
      </w:r>
    </w:p>
    <w:p w14:paraId="012C3209" w14:textId="397D306F" w:rsidR="007F3C63" w:rsidRDefault="007F3C63" w:rsidP="004E6C10">
      <w:pPr>
        <w:pStyle w:val="aa"/>
        <w:ind w:firstLine="708"/>
        <w:jc w:val="both"/>
        <w:rPr>
          <w:b w:val="0"/>
          <w:bCs w:val="0"/>
          <w:szCs w:val="28"/>
        </w:rPr>
      </w:pPr>
      <w:r w:rsidRPr="0022462F">
        <w:rPr>
          <w:b w:val="0"/>
          <w:bCs w:val="0"/>
          <w:szCs w:val="28"/>
        </w:rPr>
        <w:t>Наибольшую долю в импорте составляют товарные группы: «Машины, оборудование и транспортные средства» – 4</w:t>
      </w:r>
      <w:r w:rsidR="0022462F" w:rsidRPr="0022462F">
        <w:rPr>
          <w:b w:val="0"/>
          <w:bCs w:val="0"/>
          <w:szCs w:val="28"/>
        </w:rPr>
        <w:t>6</w:t>
      </w:r>
      <w:r w:rsidRPr="0022462F">
        <w:rPr>
          <w:b w:val="0"/>
          <w:bCs w:val="0"/>
          <w:szCs w:val="28"/>
        </w:rPr>
        <w:t xml:space="preserve">,0%, «Продовольственные товары </w:t>
      </w:r>
      <w:r w:rsidR="002A6659">
        <w:rPr>
          <w:b w:val="0"/>
          <w:bCs w:val="0"/>
          <w:szCs w:val="28"/>
        </w:rPr>
        <w:br/>
      </w:r>
      <w:r w:rsidRPr="0022462F">
        <w:rPr>
          <w:b w:val="0"/>
          <w:bCs w:val="0"/>
          <w:szCs w:val="28"/>
        </w:rPr>
        <w:t xml:space="preserve">и сельскохозяйственное сырье» – </w:t>
      </w:r>
      <w:r w:rsidR="002A6659">
        <w:rPr>
          <w:b w:val="0"/>
          <w:bCs w:val="0"/>
          <w:szCs w:val="28"/>
        </w:rPr>
        <w:t>20,1</w:t>
      </w:r>
      <w:r w:rsidRPr="0022462F">
        <w:rPr>
          <w:b w:val="0"/>
          <w:bCs w:val="0"/>
          <w:szCs w:val="28"/>
        </w:rPr>
        <w:t xml:space="preserve">% и «Продукция химической промышленности, каучук» – </w:t>
      </w:r>
      <w:r w:rsidR="002A6659">
        <w:rPr>
          <w:b w:val="0"/>
          <w:bCs w:val="0"/>
          <w:szCs w:val="28"/>
        </w:rPr>
        <w:t>14,2</w:t>
      </w:r>
      <w:r w:rsidRPr="0022462F">
        <w:rPr>
          <w:b w:val="0"/>
          <w:bCs w:val="0"/>
          <w:szCs w:val="28"/>
        </w:rPr>
        <w:t>%.</w:t>
      </w:r>
    </w:p>
    <w:p w14:paraId="66D65230" w14:textId="77777777" w:rsidR="002A6659" w:rsidRPr="0022462F" w:rsidRDefault="002A6659" w:rsidP="004E6C10">
      <w:pPr>
        <w:pStyle w:val="aa"/>
        <w:ind w:firstLine="708"/>
        <w:jc w:val="both"/>
        <w:rPr>
          <w:b w:val="0"/>
          <w:bCs w:val="0"/>
          <w:szCs w:val="28"/>
        </w:rPr>
      </w:pPr>
    </w:p>
    <w:p w14:paraId="600ACAA9" w14:textId="77777777" w:rsidR="007F3C63" w:rsidRPr="00372CC1" w:rsidRDefault="007F3C63" w:rsidP="007F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14:paraId="190DA7A0" w14:textId="77777777" w:rsidR="007F3C63" w:rsidRPr="00EE1D10" w:rsidRDefault="007F3C63" w:rsidP="007F3C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BE46869" w14:textId="05926122" w:rsidR="007F3C63" w:rsidRPr="00963F84" w:rsidRDefault="007F3C63" w:rsidP="007F3C63">
      <w:pPr>
        <w:pStyle w:val="aa"/>
        <w:ind w:firstLine="567"/>
        <w:jc w:val="both"/>
        <w:rPr>
          <w:b w:val="0"/>
          <w:bCs w:val="0"/>
          <w:szCs w:val="28"/>
        </w:rPr>
      </w:pPr>
      <w:r w:rsidRPr="00963F84">
        <w:rPr>
          <w:b w:val="0"/>
          <w:bCs w:val="0"/>
          <w:szCs w:val="28"/>
        </w:rPr>
        <w:t>В январе-</w:t>
      </w:r>
      <w:r w:rsidR="00963F84" w:rsidRPr="00963F84">
        <w:rPr>
          <w:b w:val="0"/>
          <w:bCs w:val="0"/>
          <w:szCs w:val="28"/>
        </w:rPr>
        <w:t>марте</w:t>
      </w:r>
      <w:r w:rsidRPr="00963F84">
        <w:rPr>
          <w:b w:val="0"/>
          <w:bCs w:val="0"/>
          <w:szCs w:val="28"/>
        </w:rPr>
        <w:t xml:space="preserve"> 20</w:t>
      </w:r>
      <w:r w:rsidR="00963F84" w:rsidRPr="00963F84">
        <w:rPr>
          <w:b w:val="0"/>
          <w:bCs w:val="0"/>
          <w:szCs w:val="28"/>
        </w:rPr>
        <w:t>20</w:t>
      </w:r>
      <w:r w:rsidRPr="00963F84">
        <w:rPr>
          <w:b w:val="0"/>
          <w:bCs w:val="0"/>
          <w:szCs w:val="28"/>
        </w:rPr>
        <w:t xml:space="preserve"> года объем инвестиций в основной капитал составил </w:t>
      </w:r>
      <w:r w:rsidR="00963F84" w:rsidRPr="00963F84">
        <w:rPr>
          <w:b w:val="0"/>
          <w:bCs w:val="0"/>
          <w:szCs w:val="28"/>
        </w:rPr>
        <w:t>99,9</w:t>
      </w:r>
      <w:r w:rsidRPr="00963F84">
        <w:rPr>
          <w:b w:val="0"/>
          <w:bCs w:val="0"/>
          <w:szCs w:val="28"/>
        </w:rPr>
        <w:t xml:space="preserve"> млрд руб., что </w:t>
      </w:r>
      <w:r w:rsidR="00963F84" w:rsidRPr="00963F84">
        <w:rPr>
          <w:b w:val="0"/>
          <w:bCs w:val="0"/>
          <w:szCs w:val="28"/>
        </w:rPr>
        <w:t>в сопоставимых ценах на 1,5% ниже уровня прошлого года.</w:t>
      </w:r>
    </w:p>
    <w:p w14:paraId="44866254" w14:textId="77777777" w:rsidR="007F3C63" w:rsidRPr="00EE1D10" w:rsidRDefault="007F3C63" w:rsidP="007F3C63">
      <w:pPr>
        <w:pStyle w:val="aa"/>
        <w:ind w:firstLine="567"/>
        <w:jc w:val="both"/>
        <w:rPr>
          <w:b w:val="0"/>
          <w:bCs w:val="0"/>
          <w:color w:val="FF0000"/>
          <w:sz w:val="20"/>
        </w:rPr>
      </w:pPr>
    </w:p>
    <w:p w14:paraId="727716B7" w14:textId="77777777" w:rsidR="007F3C63" w:rsidRPr="00EE1D10" w:rsidRDefault="007F3C63" w:rsidP="007F3C63">
      <w:pPr>
        <w:pStyle w:val="aa"/>
        <w:rPr>
          <w:b w:val="0"/>
          <w:bCs w:val="0"/>
          <w:color w:val="FF0000"/>
          <w:szCs w:val="28"/>
        </w:rPr>
      </w:pPr>
      <w:r w:rsidRPr="00EE1D10">
        <w:rPr>
          <w:noProof/>
          <w:color w:val="FF0000"/>
          <w:szCs w:val="28"/>
        </w:rPr>
        <w:drawing>
          <wp:inline distT="0" distB="0" distL="0" distR="0" wp14:anchorId="37D8DD2F" wp14:editId="346D5C1D">
            <wp:extent cx="6029325" cy="20478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AF6164" w14:textId="2C73360D" w:rsidR="007F3C63" w:rsidRDefault="007F3C63" w:rsidP="007F3C63">
      <w:pPr>
        <w:pStyle w:val="aa"/>
        <w:spacing w:before="120"/>
        <w:ind w:firstLine="708"/>
        <w:jc w:val="both"/>
        <w:rPr>
          <w:b w:val="0"/>
          <w:bCs w:val="0"/>
          <w:szCs w:val="28"/>
        </w:rPr>
      </w:pPr>
      <w:r w:rsidRPr="0045262B">
        <w:rPr>
          <w:b w:val="0"/>
          <w:bCs w:val="0"/>
          <w:szCs w:val="28"/>
        </w:rPr>
        <w:t xml:space="preserve">В структуре инвестиций в основной капитал преобладали вложения </w:t>
      </w:r>
      <w:r w:rsidR="00DA2909">
        <w:rPr>
          <w:b w:val="0"/>
          <w:bCs w:val="0"/>
          <w:szCs w:val="28"/>
        </w:rPr>
        <w:br/>
      </w:r>
      <w:r w:rsidR="00F42BAE">
        <w:rPr>
          <w:b w:val="0"/>
          <w:bCs w:val="0"/>
          <w:szCs w:val="28"/>
        </w:rPr>
        <w:t xml:space="preserve">в промышленность </w:t>
      </w:r>
      <w:r w:rsidR="00782805">
        <w:rPr>
          <w:b w:val="0"/>
          <w:bCs w:val="0"/>
          <w:szCs w:val="28"/>
        </w:rPr>
        <w:t xml:space="preserve">– 22,6%, </w:t>
      </w:r>
      <w:r w:rsidR="0045262B" w:rsidRPr="0045262B">
        <w:rPr>
          <w:b w:val="0"/>
          <w:bCs w:val="0"/>
          <w:szCs w:val="28"/>
        </w:rPr>
        <w:t>в тран</w:t>
      </w:r>
      <w:r w:rsidR="00F42BAE">
        <w:rPr>
          <w:b w:val="0"/>
          <w:bCs w:val="0"/>
          <w:szCs w:val="28"/>
        </w:rPr>
        <w:t>спортировку и хранение – 20,2%,</w:t>
      </w:r>
      <w:r w:rsidR="00F42BAE">
        <w:rPr>
          <w:b w:val="0"/>
          <w:bCs w:val="0"/>
          <w:szCs w:val="28"/>
        </w:rPr>
        <w:br/>
      </w:r>
      <w:r w:rsidRPr="0045262B">
        <w:rPr>
          <w:b w:val="0"/>
          <w:bCs w:val="0"/>
          <w:szCs w:val="28"/>
        </w:rPr>
        <w:t>в деятельность по операциям</w:t>
      </w:r>
      <w:r w:rsidR="00782805">
        <w:rPr>
          <w:b w:val="0"/>
          <w:bCs w:val="0"/>
          <w:szCs w:val="28"/>
        </w:rPr>
        <w:t xml:space="preserve"> </w:t>
      </w:r>
      <w:r w:rsidRPr="0045262B">
        <w:rPr>
          <w:b w:val="0"/>
          <w:bCs w:val="0"/>
          <w:szCs w:val="28"/>
        </w:rPr>
        <w:t>с недвижимым имуществом – 1</w:t>
      </w:r>
      <w:r w:rsidR="0045262B" w:rsidRPr="0045262B">
        <w:rPr>
          <w:b w:val="0"/>
          <w:bCs w:val="0"/>
          <w:szCs w:val="28"/>
        </w:rPr>
        <w:t>3,7</w:t>
      </w:r>
      <w:r w:rsidR="00782805">
        <w:rPr>
          <w:b w:val="0"/>
          <w:bCs w:val="0"/>
          <w:szCs w:val="28"/>
        </w:rPr>
        <w:t>%</w:t>
      </w:r>
      <w:r w:rsidRPr="0045262B">
        <w:rPr>
          <w:b w:val="0"/>
          <w:bCs w:val="0"/>
          <w:szCs w:val="28"/>
        </w:rPr>
        <w:t>.</w:t>
      </w:r>
    </w:p>
    <w:p w14:paraId="29C3D6B5" w14:textId="77777777" w:rsidR="00782805" w:rsidRDefault="00782805" w:rsidP="007F3C63">
      <w:pPr>
        <w:pStyle w:val="aa"/>
        <w:spacing w:before="120"/>
        <w:ind w:firstLine="708"/>
        <w:jc w:val="both"/>
        <w:rPr>
          <w:b w:val="0"/>
          <w:bCs w:val="0"/>
          <w:szCs w:val="28"/>
        </w:rPr>
      </w:pPr>
    </w:p>
    <w:p w14:paraId="5910B9C4" w14:textId="77777777" w:rsidR="00782805" w:rsidRPr="00EE1D10" w:rsidRDefault="00782805" w:rsidP="007F3C63">
      <w:pPr>
        <w:pStyle w:val="aa"/>
        <w:spacing w:before="120"/>
        <w:ind w:firstLine="708"/>
        <w:jc w:val="both"/>
        <w:rPr>
          <w:b w:val="0"/>
          <w:bCs w:val="0"/>
          <w:color w:val="FF0000"/>
          <w:szCs w:val="28"/>
        </w:rPr>
      </w:pPr>
    </w:p>
    <w:p w14:paraId="7FCB18B3" w14:textId="77777777" w:rsidR="006A0898" w:rsidRPr="00372CC1" w:rsidRDefault="005B77DE" w:rsidP="00C41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14:paraId="2D7F99C4" w14:textId="77777777" w:rsidR="00416506" w:rsidRPr="00372CC1" w:rsidRDefault="00416506" w:rsidP="006A08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ACF18" w14:textId="0B63FAE5" w:rsidR="00425226" w:rsidRDefault="005B77DE" w:rsidP="00425226">
      <w:pPr>
        <w:pStyle w:val="aa"/>
        <w:ind w:firstLine="567"/>
        <w:jc w:val="both"/>
        <w:rPr>
          <w:b w:val="0"/>
          <w:szCs w:val="28"/>
        </w:rPr>
      </w:pPr>
      <w:r w:rsidRPr="00372CC1">
        <w:rPr>
          <w:b w:val="0"/>
          <w:bCs w:val="0"/>
          <w:szCs w:val="28"/>
        </w:rPr>
        <w:t>Чис</w:t>
      </w:r>
      <w:r w:rsidR="002566DE" w:rsidRPr="00372CC1">
        <w:rPr>
          <w:b w:val="0"/>
          <w:bCs w:val="0"/>
          <w:szCs w:val="28"/>
        </w:rPr>
        <w:t>ленность населения на начало ию</w:t>
      </w:r>
      <w:r w:rsidR="00372CC1" w:rsidRPr="00372CC1">
        <w:rPr>
          <w:b w:val="0"/>
          <w:bCs w:val="0"/>
          <w:szCs w:val="28"/>
        </w:rPr>
        <w:t>ня</w:t>
      </w:r>
      <w:r w:rsidRPr="00372CC1">
        <w:rPr>
          <w:b w:val="0"/>
          <w:bCs w:val="0"/>
          <w:szCs w:val="28"/>
        </w:rPr>
        <w:t xml:space="preserve"> </w:t>
      </w:r>
      <w:r w:rsidR="00BC3890" w:rsidRPr="00372CC1">
        <w:rPr>
          <w:b w:val="0"/>
          <w:bCs w:val="0"/>
          <w:szCs w:val="28"/>
        </w:rPr>
        <w:t>20</w:t>
      </w:r>
      <w:r w:rsidR="00372CC1" w:rsidRPr="00372CC1">
        <w:rPr>
          <w:b w:val="0"/>
          <w:bCs w:val="0"/>
          <w:szCs w:val="28"/>
        </w:rPr>
        <w:t>20</w:t>
      </w:r>
      <w:r w:rsidR="00BC3890" w:rsidRPr="00372CC1">
        <w:rPr>
          <w:b w:val="0"/>
          <w:bCs w:val="0"/>
          <w:szCs w:val="28"/>
        </w:rPr>
        <w:t xml:space="preserve"> года </w:t>
      </w:r>
      <w:r w:rsidRPr="00372CC1">
        <w:rPr>
          <w:b w:val="0"/>
          <w:bCs w:val="0"/>
          <w:szCs w:val="28"/>
        </w:rPr>
        <w:t xml:space="preserve">составила </w:t>
      </w:r>
      <w:r w:rsidR="00BC3890" w:rsidRPr="00372CC1">
        <w:rPr>
          <w:b w:val="0"/>
          <w:bCs w:val="0"/>
          <w:szCs w:val="28"/>
        </w:rPr>
        <w:br/>
      </w:r>
      <w:r w:rsidRPr="00372CC1">
        <w:rPr>
          <w:b w:val="0"/>
          <w:bCs w:val="0"/>
          <w:szCs w:val="28"/>
        </w:rPr>
        <w:t>5</w:t>
      </w:r>
      <w:r w:rsidR="00372CC1" w:rsidRPr="00372CC1">
        <w:rPr>
          <w:b w:val="0"/>
          <w:bCs w:val="0"/>
          <w:szCs w:val="28"/>
        </w:rPr>
        <w:t> </w:t>
      </w:r>
      <w:r w:rsidR="00425226" w:rsidRPr="00372CC1">
        <w:rPr>
          <w:b w:val="0"/>
          <w:bCs w:val="0"/>
          <w:szCs w:val="28"/>
        </w:rPr>
        <w:t>3</w:t>
      </w:r>
      <w:r w:rsidR="00372CC1" w:rsidRPr="00372CC1">
        <w:rPr>
          <w:b w:val="0"/>
          <w:bCs w:val="0"/>
          <w:szCs w:val="28"/>
        </w:rPr>
        <w:t>95,2</w:t>
      </w:r>
      <w:r w:rsidRPr="00372CC1">
        <w:rPr>
          <w:b w:val="0"/>
          <w:bCs w:val="0"/>
          <w:szCs w:val="28"/>
        </w:rPr>
        <w:t xml:space="preserve"> тыс. человек, </w:t>
      </w:r>
      <w:r w:rsidR="00425226" w:rsidRPr="00372CC1">
        <w:rPr>
          <w:b w:val="0"/>
          <w:bCs w:val="0"/>
          <w:szCs w:val="28"/>
        </w:rPr>
        <w:t>снизившись</w:t>
      </w:r>
      <w:r w:rsidR="00416506" w:rsidRPr="00372CC1">
        <w:rPr>
          <w:b w:val="0"/>
          <w:bCs w:val="0"/>
          <w:szCs w:val="28"/>
        </w:rPr>
        <w:t xml:space="preserve"> с начала года на </w:t>
      </w:r>
      <w:r w:rsidR="00372CC1" w:rsidRPr="00372CC1">
        <w:rPr>
          <w:b w:val="0"/>
          <w:bCs w:val="0"/>
          <w:szCs w:val="28"/>
        </w:rPr>
        <w:t>2,9</w:t>
      </w:r>
      <w:r w:rsidRPr="00372CC1">
        <w:rPr>
          <w:b w:val="0"/>
          <w:bCs w:val="0"/>
          <w:szCs w:val="28"/>
        </w:rPr>
        <w:t xml:space="preserve"> тыс. человек. </w:t>
      </w:r>
      <w:r w:rsidR="00425226" w:rsidRPr="00372CC1">
        <w:rPr>
          <w:b w:val="0"/>
          <w:szCs w:val="28"/>
        </w:rPr>
        <w:t xml:space="preserve">Сокращение численности населения </w:t>
      </w:r>
      <w:r w:rsidR="006423B3">
        <w:rPr>
          <w:b w:val="0"/>
          <w:szCs w:val="28"/>
        </w:rPr>
        <w:t>обусловлено естественной убылью</w:t>
      </w:r>
      <w:r w:rsidR="001A26B2">
        <w:rPr>
          <w:b w:val="0"/>
          <w:szCs w:val="28"/>
        </w:rPr>
        <w:t xml:space="preserve"> населения</w:t>
      </w:r>
      <w:r w:rsidR="006423B3">
        <w:rPr>
          <w:b w:val="0"/>
          <w:szCs w:val="28"/>
        </w:rPr>
        <w:t>.</w:t>
      </w:r>
      <w:r w:rsidR="00372CC1" w:rsidRPr="00372CC1">
        <w:rPr>
          <w:b w:val="0"/>
          <w:szCs w:val="28"/>
        </w:rPr>
        <w:t xml:space="preserve"> </w:t>
      </w:r>
    </w:p>
    <w:p w14:paraId="7912BABA" w14:textId="13872747" w:rsidR="00F42BAE" w:rsidRDefault="006423B3" w:rsidP="00B11B4F">
      <w:pPr>
        <w:pStyle w:val="aa"/>
        <w:ind w:firstLine="567"/>
        <w:jc w:val="both"/>
        <w:rPr>
          <w:b w:val="0"/>
          <w:bCs w:val="0"/>
          <w:szCs w:val="28"/>
        </w:rPr>
      </w:pPr>
      <w:r w:rsidRPr="000C68C2">
        <w:rPr>
          <w:b w:val="0"/>
          <w:bCs w:val="0"/>
          <w:szCs w:val="28"/>
        </w:rPr>
        <w:t>Естественная убыль населения в январе-</w:t>
      </w:r>
      <w:r>
        <w:rPr>
          <w:b w:val="0"/>
          <w:bCs w:val="0"/>
          <w:szCs w:val="28"/>
        </w:rPr>
        <w:t>мае</w:t>
      </w:r>
      <w:r w:rsidRPr="000C68C2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2020</w:t>
      </w:r>
      <w:r w:rsidRPr="000C68C2">
        <w:rPr>
          <w:b w:val="0"/>
          <w:bCs w:val="0"/>
          <w:szCs w:val="28"/>
        </w:rPr>
        <w:t xml:space="preserve"> года составила </w:t>
      </w:r>
      <w:r w:rsidRPr="000C68C2">
        <w:rPr>
          <w:b w:val="0"/>
          <w:bCs w:val="0"/>
          <w:szCs w:val="28"/>
        </w:rPr>
        <w:br/>
      </w:r>
      <w:r>
        <w:rPr>
          <w:b w:val="0"/>
          <w:bCs w:val="0"/>
          <w:szCs w:val="28"/>
        </w:rPr>
        <w:t>2,3</w:t>
      </w:r>
      <w:r w:rsidRPr="000C68C2">
        <w:rPr>
          <w:b w:val="0"/>
          <w:bCs w:val="0"/>
          <w:szCs w:val="28"/>
        </w:rPr>
        <w:t xml:space="preserve"> промилле, в аналогичном периоде</w:t>
      </w:r>
      <w:r>
        <w:rPr>
          <w:b w:val="0"/>
          <w:bCs w:val="0"/>
          <w:szCs w:val="28"/>
        </w:rPr>
        <w:t xml:space="preserve"> 2019</w:t>
      </w:r>
      <w:r w:rsidRPr="000C68C2">
        <w:rPr>
          <w:b w:val="0"/>
          <w:bCs w:val="0"/>
          <w:szCs w:val="28"/>
        </w:rPr>
        <w:t xml:space="preserve"> </w:t>
      </w:r>
      <w:r w:rsidRPr="00CB7434">
        <w:rPr>
          <w:b w:val="0"/>
          <w:bCs w:val="0"/>
          <w:szCs w:val="28"/>
        </w:rPr>
        <w:t xml:space="preserve">года – </w:t>
      </w:r>
      <w:r>
        <w:rPr>
          <w:b w:val="0"/>
          <w:bCs w:val="0"/>
          <w:szCs w:val="28"/>
        </w:rPr>
        <w:t>1,0</w:t>
      </w:r>
      <w:r w:rsidRPr="00CB7434">
        <w:rPr>
          <w:b w:val="0"/>
          <w:bCs w:val="0"/>
          <w:szCs w:val="28"/>
        </w:rPr>
        <w:t xml:space="preserve"> </w:t>
      </w:r>
      <w:r w:rsidRPr="000C68C2">
        <w:rPr>
          <w:b w:val="0"/>
          <w:bCs w:val="0"/>
          <w:szCs w:val="28"/>
        </w:rPr>
        <w:t>промилле.</w:t>
      </w:r>
      <w:r>
        <w:rPr>
          <w:b w:val="0"/>
          <w:bCs w:val="0"/>
          <w:szCs w:val="28"/>
        </w:rPr>
        <w:t xml:space="preserve"> </w:t>
      </w:r>
      <w:r w:rsidR="00F42BAE">
        <w:rPr>
          <w:b w:val="0"/>
          <w:bCs w:val="0"/>
          <w:szCs w:val="28"/>
        </w:rPr>
        <w:t>Е</w:t>
      </w:r>
      <w:r w:rsidR="005204CA" w:rsidRPr="00B11B4F">
        <w:rPr>
          <w:b w:val="0"/>
          <w:bCs w:val="0"/>
          <w:szCs w:val="28"/>
        </w:rPr>
        <w:t>стественн</w:t>
      </w:r>
      <w:r w:rsidR="00F42BAE">
        <w:rPr>
          <w:b w:val="0"/>
          <w:bCs w:val="0"/>
          <w:szCs w:val="28"/>
        </w:rPr>
        <w:t>ая</w:t>
      </w:r>
      <w:r w:rsidR="005204CA" w:rsidRPr="00B11B4F">
        <w:rPr>
          <w:b w:val="0"/>
          <w:bCs w:val="0"/>
          <w:szCs w:val="28"/>
        </w:rPr>
        <w:t xml:space="preserve"> убыль населения</w:t>
      </w:r>
      <w:r w:rsidR="00F42BAE">
        <w:rPr>
          <w:b w:val="0"/>
          <w:bCs w:val="0"/>
          <w:szCs w:val="28"/>
        </w:rPr>
        <w:t xml:space="preserve"> обусловлена</w:t>
      </w:r>
      <w:r w:rsidR="005B77DE" w:rsidRPr="00B11B4F">
        <w:rPr>
          <w:b w:val="0"/>
          <w:bCs w:val="0"/>
          <w:szCs w:val="28"/>
        </w:rPr>
        <w:t xml:space="preserve"> с</w:t>
      </w:r>
      <w:r w:rsidR="002566DE" w:rsidRPr="00B11B4F">
        <w:rPr>
          <w:b w:val="0"/>
          <w:bCs w:val="0"/>
          <w:szCs w:val="28"/>
        </w:rPr>
        <w:t>нижение</w:t>
      </w:r>
      <w:r w:rsidR="00F42BAE">
        <w:rPr>
          <w:b w:val="0"/>
          <w:bCs w:val="0"/>
          <w:szCs w:val="28"/>
        </w:rPr>
        <w:t>м</w:t>
      </w:r>
      <w:r w:rsidR="002566DE" w:rsidRPr="00B11B4F">
        <w:rPr>
          <w:b w:val="0"/>
          <w:bCs w:val="0"/>
          <w:szCs w:val="28"/>
        </w:rPr>
        <w:t xml:space="preserve"> численност</w:t>
      </w:r>
      <w:r w:rsidR="00BC3890" w:rsidRPr="00B11B4F">
        <w:rPr>
          <w:b w:val="0"/>
          <w:bCs w:val="0"/>
          <w:szCs w:val="28"/>
        </w:rPr>
        <w:t>и</w:t>
      </w:r>
      <w:r w:rsidR="004A45E9">
        <w:rPr>
          <w:b w:val="0"/>
          <w:bCs w:val="0"/>
          <w:szCs w:val="28"/>
        </w:rPr>
        <w:t xml:space="preserve"> родившихся</w:t>
      </w:r>
      <w:r w:rsidR="004A45E9">
        <w:rPr>
          <w:b w:val="0"/>
          <w:bCs w:val="0"/>
          <w:szCs w:val="28"/>
        </w:rPr>
        <w:br/>
      </w:r>
      <w:r w:rsidR="005B77DE" w:rsidRPr="00B11B4F">
        <w:rPr>
          <w:b w:val="0"/>
          <w:bCs w:val="0"/>
          <w:szCs w:val="28"/>
        </w:rPr>
        <w:t>за первую половину 20</w:t>
      </w:r>
      <w:r w:rsidR="00B11B4F" w:rsidRPr="00B11B4F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 xml:space="preserve"> года </w:t>
      </w:r>
      <w:r w:rsidR="00F42BAE">
        <w:rPr>
          <w:b w:val="0"/>
          <w:bCs w:val="0"/>
          <w:szCs w:val="28"/>
        </w:rPr>
        <w:t xml:space="preserve">(снижение </w:t>
      </w:r>
      <w:r w:rsidR="003F010E" w:rsidRPr="00B11B4F">
        <w:rPr>
          <w:b w:val="0"/>
          <w:bCs w:val="0"/>
          <w:szCs w:val="28"/>
        </w:rPr>
        <w:t xml:space="preserve">на </w:t>
      </w:r>
      <w:r w:rsidR="00B11B4F" w:rsidRPr="00B11B4F">
        <w:rPr>
          <w:b w:val="0"/>
          <w:bCs w:val="0"/>
          <w:szCs w:val="28"/>
        </w:rPr>
        <w:t>1,1</w:t>
      </w:r>
      <w:r w:rsidR="00C83111" w:rsidRPr="00B11B4F">
        <w:rPr>
          <w:b w:val="0"/>
          <w:bCs w:val="0"/>
          <w:szCs w:val="28"/>
        </w:rPr>
        <w:t xml:space="preserve"> </w:t>
      </w:r>
      <w:r w:rsidR="005B77DE" w:rsidRPr="00B11B4F">
        <w:rPr>
          <w:b w:val="0"/>
          <w:bCs w:val="0"/>
          <w:szCs w:val="28"/>
        </w:rPr>
        <w:t xml:space="preserve">тыс. </w:t>
      </w:r>
      <w:r w:rsidR="00A25481" w:rsidRPr="00B11B4F">
        <w:rPr>
          <w:b w:val="0"/>
          <w:bCs w:val="0"/>
          <w:szCs w:val="28"/>
        </w:rPr>
        <w:t xml:space="preserve">человек </w:t>
      </w:r>
      <w:r w:rsidR="00816501" w:rsidRPr="00B11B4F">
        <w:rPr>
          <w:b w:val="0"/>
          <w:bCs w:val="0"/>
          <w:szCs w:val="28"/>
        </w:rPr>
        <w:t>относительно</w:t>
      </w:r>
      <w:r w:rsidR="005B77DE" w:rsidRPr="00B11B4F">
        <w:rPr>
          <w:b w:val="0"/>
          <w:bCs w:val="0"/>
          <w:szCs w:val="28"/>
        </w:rPr>
        <w:t xml:space="preserve"> </w:t>
      </w:r>
      <w:r w:rsidR="00816501" w:rsidRPr="009224DC">
        <w:rPr>
          <w:b w:val="0"/>
          <w:bCs w:val="0"/>
          <w:szCs w:val="28"/>
        </w:rPr>
        <w:t>аналогичного</w:t>
      </w:r>
      <w:r w:rsidR="005B77DE" w:rsidRPr="009224DC">
        <w:rPr>
          <w:b w:val="0"/>
          <w:bCs w:val="0"/>
          <w:szCs w:val="28"/>
        </w:rPr>
        <w:t xml:space="preserve"> период</w:t>
      </w:r>
      <w:r w:rsidR="00816501" w:rsidRPr="009224DC">
        <w:rPr>
          <w:b w:val="0"/>
          <w:bCs w:val="0"/>
          <w:szCs w:val="28"/>
        </w:rPr>
        <w:t>а</w:t>
      </w:r>
      <w:r w:rsidR="005B77DE" w:rsidRPr="009224DC">
        <w:rPr>
          <w:b w:val="0"/>
          <w:bCs w:val="0"/>
          <w:szCs w:val="28"/>
        </w:rPr>
        <w:t xml:space="preserve"> 201</w:t>
      </w:r>
      <w:r w:rsidR="00B11B4F" w:rsidRPr="009224DC">
        <w:rPr>
          <w:b w:val="0"/>
          <w:bCs w:val="0"/>
          <w:szCs w:val="28"/>
        </w:rPr>
        <w:t>9</w:t>
      </w:r>
      <w:r w:rsidR="004A45E9">
        <w:rPr>
          <w:b w:val="0"/>
          <w:bCs w:val="0"/>
          <w:szCs w:val="28"/>
        </w:rPr>
        <w:t xml:space="preserve"> года) </w:t>
      </w:r>
      <w:r w:rsidR="00F42BAE">
        <w:rPr>
          <w:b w:val="0"/>
          <w:bCs w:val="0"/>
          <w:szCs w:val="28"/>
        </w:rPr>
        <w:t>и увеличением числ</w:t>
      </w:r>
      <w:r w:rsidR="004A45E9">
        <w:rPr>
          <w:b w:val="0"/>
          <w:bCs w:val="0"/>
          <w:szCs w:val="28"/>
        </w:rPr>
        <w:t>а</w:t>
      </w:r>
      <w:r w:rsidR="00F42BAE">
        <w:rPr>
          <w:b w:val="0"/>
          <w:bCs w:val="0"/>
          <w:szCs w:val="28"/>
        </w:rPr>
        <w:t xml:space="preserve"> умерших (рост на 2,1 тыс. человек </w:t>
      </w:r>
      <w:r w:rsidR="00F42BAE" w:rsidRPr="00B11B4F">
        <w:rPr>
          <w:b w:val="0"/>
          <w:bCs w:val="0"/>
          <w:szCs w:val="28"/>
        </w:rPr>
        <w:t xml:space="preserve">относительно </w:t>
      </w:r>
      <w:r w:rsidR="00F42BAE" w:rsidRPr="009224DC">
        <w:rPr>
          <w:b w:val="0"/>
          <w:bCs w:val="0"/>
          <w:szCs w:val="28"/>
        </w:rPr>
        <w:t>аналогичного периода 2019</w:t>
      </w:r>
      <w:r w:rsidR="00F42BAE">
        <w:rPr>
          <w:b w:val="0"/>
          <w:bCs w:val="0"/>
          <w:szCs w:val="28"/>
        </w:rPr>
        <w:t xml:space="preserve"> года).</w:t>
      </w:r>
      <w:r>
        <w:rPr>
          <w:b w:val="0"/>
          <w:bCs w:val="0"/>
          <w:szCs w:val="28"/>
        </w:rPr>
        <w:t xml:space="preserve"> </w:t>
      </w:r>
    </w:p>
    <w:p w14:paraId="52278BDB" w14:textId="5A048FB0" w:rsidR="005B77DE" w:rsidRPr="009224DC" w:rsidRDefault="006423B3" w:rsidP="00B11B4F">
      <w:pPr>
        <w:pStyle w:val="aa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Коэффициент рождаемости </w:t>
      </w:r>
      <w:r w:rsidR="008B54F9">
        <w:rPr>
          <w:b w:val="0"/>
          <w:bCs w:val="0"/>
          <w:szCs w:val="28"/>
        </w:rPr>
        <w:t>уменьшился на 4,7% относительно аналогичного</w:t>
      </w:r>
      <w:r w:rsidR="008B54F9" w:rsidRPr="00B11B4F">
        <w:rPr>
          <w:b w:val="0"/>
          <w:bCs w:val="0"/>
          <w:szCs w:val="28"/>
        </w:rPr>
        <w:t xml:space="preserve"> период</w:t>
      </w:r>
      <w:r w:rsidR="008B54F9">
        <w:rPr>
          <w:b w:val="0"/>
          <w:bCs w:val="0"/>
          <w:szCs w:val="28"/>
        </w:rPr>
        <w:t>а</w:t>
      </w:r>
      <w:r w:rsidR="008B54F9" w:rsidRPr="00B11B4F">
        <w:rPr>
          <w:b w:val="0"/>
          <w:bCs w:val="0"/>
          <w:szCs w:val="28"/>
        </w:rPr>
        <w:t xml:space="preserve"> 2019 года</w:t>
      </w:r>
      <w:r w:rsidR="008B54F9">
        <w:rPr>
          <w:b w:val="0"/>
          <w:bCs w:val="0"/>
          <w:szCs w:val="28"/>
        </w:rPr>
        <w:t xml:space="preserve"> и </w:t>
      </w:r>
      <w:r>
        <w:rPr>
          <w:b w:val="0"/>
          <w:bCs w:val="0"/>
          <w:szCs w:val="28"/>
        </w:rPr>
        <w:t>составил 10,1 промилле</w:t>
      </w:r>
      <w:r w:rsidR="008B54F9" w:rsidRPr="00B11B4F">
        <w:rPr>
          <w:b w:val="0"/>
          <w:bCs w:val="0"/>
          <w:szCs w:val="28"/>
        </w:rPr>
        <w:t xml:space="preserve">. </w:t>
      </w:r>
      <w:r w:rsidR="00F42BAE" w:rsidRPr="00B11B4F">
        <w:rPr>
          <w:b w:val="0"/>
          <w:bCs w:val="0"/>
          <w:szCs w:val="28"/>
        </w:rPr>
        <w:t xml:space="preserve">Коэффициент смертности в январе-мае составил 12,4 </w:t>
      </w:r>
      <w:r w:rsidR="00F42BAE">
        <w:rPr>
          <w:b w:val="0"/>
          <w:bCs w:val="0"/>
          <w:szCs w:val="28"/>
        </w:rPr>
        <w:t>промилле</w:t>
      </w:r>
      <w:r w:rsidR="00F42BAE" w:rsidRPr="00B11B4F">
        <w:rPr>
          <w:b w:val="0"/>
          <w:bCs w:val="0"/>
          <w:szCs w:val="28"/>
        </w:rPr>
        <w:t xml:space="preserve">, что на </w:t>
      </w:r>
      <w:r w:rsidR="00F42BAE">
        <w:rPr>
          <w:b w:val="0"/>
          <w:bCs w:val="0"/>
          <w:szCs w:val="28"/>
        </w:rPr>
        <w:t>6,9%</w:t>
      </w:r>
      <w:r w:rsidR="00F42BAE" w:rsidRPr="00B11B4F">
        <w:rPr>
          <w:b w:val="0"/>
          <w:bCs w:val="0"/>
          <w:szCs w:val="28"/>
        </w:rPr>
        <w:t xml:space="preserve"> </w:t>
      </w:r>
      <w:r w:rsidR="00F42BAE">
        <w:rPr>
          <w:b w:val="0"/>
          <w:bCs w:val="0"/>
          <w:szCs w:val="28"/>
        </w:rPr>
        <w:t>больше</w:t>
      </w:r>
      <w:r w:rsidR="00F42BAE" w:rsidRPr="00B11B4F">
        <w:rPr>
          <w:b w:val="0"/>
          <w:bCs w:val="0"/>
          <w:szCs w:val="28"/>
        </w:rPr>
        <w:t>, чем</w:t>
      </w:r>
      <w:r w:rsidR="00F42BAE">
        <w:rPr>
          <w:b w:val="0"/>
          <w:bCs w:val="0"/>
          <w:szCs w:val="28"/>
        </w:rPr>
        <w:br/>
      </w:r>
      <w:r w:rsidR="00F42BAE" w:rsidRPr="00B11B4F">
        <w:rPr>
          <w:b w:val="0"/>
          <w:bCs w:val="0"/>
          <w:szCs w:val="28"/>
        </w:rPr>
        <w:t xml:space="preserve">за аналогичный период 2019 года. </w:t>
      </w:r>
    </w:p>
    <w:p w14:paraId="4DCDE3F4" w14:textId="4F336FCA" w:rsidR="001A26B2" w:rsidRPr="009224DC" w:rsidRDefault="00425226" w:rsidP="003C2A7D">
      <w:pPr>
        <w:pStyle w:val="aa"/>
        <w:ind w:firstLine="567"/>
        <w:jc w:val="both"/>
        <w:rPr>
          <w:b w:val="0"/>
          <w:bCs w:val="0"/>
          <w:szCs w:val="28"/>
        </w:rPr>
      </w:pPr>
      <w:r w:rsidRPr="009224DC">
        <w:rPr>
          <w:b w:val="0"/>
          <w:bCs w:val="0"/>
          <w:szCs w:val="28"/>
        </w:rPr>
        <w:t xml:space="preserve">Миграционный </w:t>
      </w:r>
      <w:r w:rsidR="009224DC" w:rsidRPr="009224DC">
        <w:rPr>
          <w:b w:val="0"/>
          <w:bCs w:val="0"/>
          <w:szCs w:val="28"/>
        </w:rPr>
        <w:t>прирост</w:t>
      </w:r>
      <w:r w:rsidRPr="009224DC">
        <w:rPr>
          <w:b w:val="0"/>
          <w:bCs w:val="0"/>
          <w:szCs w:val="28"/>
        </w:rPr>
        <w:t xml:space="preserve"> по итогам </w:t>
      </w:r>
      <w:r w:rsidR="002C270C" w:rsidRPr="009224DC">
        <w:rPr>
          <w:b w:val="0"/>
          <w:bCs w:val="0"/>
          <w:szCs w:val="28"/>
        </w:rPr>
        <w:t>января-</w:t>
      </w:r>
      <w:r w:rsidR="00545101">
        <w:rPr>
          <w:b w:val="0"/>
          <w:bCs w:val="0"/>
          <w:szCs w:val="28"/>
        </w:rPr>
        <w:t>мая</w:t>
      </w:r>
      <w:r w:rsidR="002C270C" w:rsidRPr="009224DC">
        <w:rPr>
          <w:b w:val="0"/>
          <w:bCs w:val="0"/>
          <w:szCs w:val="28"/>
        </w:rPr>
        <w:t xml:space="preserve"> 20</w:t>
      </w:r>
      <w:r w:rsidR="009C2D9F" w:rsidRPr="009224DC">
        <w:rPr>
          <w:b w:val="0"/>
          <w:bCs w:val="0"/>
          <w:szCs w:val="28"/>
        </w:rPr>
        <w:t>20</w:t>
      </w:r>
      <w:r w:rsidR="001A26B2">
        <w:rPr>
          <w:b w:val="0"/>
          <w:bCs w:val="0"/>
          <w:szCs w:val="28"/>
        </w:rPr>
        <w:t xml:space="preserve"> года составил</w:t>
      </w:r>
      <w:r w:rsidR="001A26B2">
        <w:rPr>
          <w:b w:val="0"/>
          <w:bCs w:val="0"/>
          <w:szCs w:val="28"/>
        </w:rPr>
        <w:br/>
        <w:t>2,5 тыс.</w:t>
      </w:r>
      <w:r w:rsidRPr="009224DC">
        <w:rPr>
          <w:b w:val="0"/>
          <w:bCs w:val="0"/>
          <w:szCs w:val="28"/>
        </w:rPr>
        <w:t xml:space="preserve"> человек. </w:t>
      </w:r>
    </w:p>
    <w:p w14:paraId="620F363A" w14:textId="77777777" w:rsidR="006423B3" w:rsidRDefault="006423B3" w:rsidP="006423B3">
      <w:pPr>
        <w:pStyle w:val="aa"/>
        <w:ind w:firstLine="567"/>
        <w:jc w:val="both"/>
        <w:rPr>
          <w:b w:val="0"/>
          <w:bCs w:val="0"/>
          <w:szCs w:val="28"/>
        </w:rPr>
      </w:pPr>
    </w:p>
    <w:p w14:paraId="262E71E1" w14:textId="77777777" w:rsidR="00E663F2" w:rsidRPr="00226E88" w:rsidRDefault="00E663F2" w:rsidP="00C418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049">
        <w:rPr>
          <w:rFonts w:ascii="Times New Roman" w:hAnsi="Times New Roman" w:cs="Times New Roman"/>
          <w:b/>
          <w:bCs/>
          <w:sz w:val="28"/>
          <w:szCs w:val="28"/>
        </w:rPr>
        <w:t>РЫНОК ТРУДА</w:t>
      </w:r>
    </w:p>
    <w:p w14:paraId="5ED3997B" w14:textId="77777777" w:rsidR="00416506" w:rsidRPr="00EE1D10" w:rsidRDefault="00416506" w:rsidP="00A560B7">
      <w:pPr>
        <w:pStyle w:val="aa"/>
        <w:ind w:firstLine="567"/>
        <w:jc w:val="both"/>
        <w:rPr>
          <w:b w:val="0"/>
          <w:bCs w:val="0"/>
          <w:color w:val="FF0000"/>
          <w:szCs w:val="28"/>
        </w:rPr>
      </w:pPr>
    </w:p>
    <w:p w14:paraId="76B3EE3B" w14:textId="224DBE65" w:rsidR="00A560B7" w:rsidRPr="001C3F79" w:rsidRDefault="001C3F79" w:rsidP="00A560B7">
      <w:pPr>
        <w:pStyle w:val="aa"/>
        <w:ind w:firstLine="567"/>
        <w:jc w:val="both"/>
        <w:rPr>
          <w:b w:val="0"/>
          <w:bCs w:val="0"/>
          <w:szCs w:val="28"/>
        </w:rPr>
      </w:pPr>
      <w:r w:rsidRPr="001C3F79">
        <w:rPr>
          <w:b w:val="0"/>
          <w:bCs w:val="0"/>
          <w:szCs w:val="28"/>
        </w:rPr>
        <w:t xml:space="preserve">За </w:t>
      </w:r>
      <w:r w:rsidR="001B6049">
        <w:rPr>
          <w:b w:val="0"/>
          <w:bCs w:val="0"/>
          <w:szCs w:val="28"/>
        </w:rPr>
        <w:t>апрель-июнь</w:t>
      </w:r>
      <w:r w:rsidR="00140C1A" w:rsidRPr="001C3F79">
        <w:rPr>
          <w:b w:val="0"/>
          <w:bCs w:val="0"/>
          <w:szCs w:val="28"/>
        </w:rPr>
        <w:t xml:space="preserve"> 20</w:t>
      </w:r>
      <w:r w:rsidRPr="001C3F79">
        <w:rPr>
          <w:b w:val="0"/>
          <w:bCs w:val="0"/>
          <w:szCs w:val="28"/>
        </w:rPr>
        <w:t>20</w:t>
      </w:r>
      <w:r w:rsidR="00140C1A" w:rsidRPr="001C3F79">
        <w:rPr>
          <w:b w:val="0"/>
          <w:bCs w:val="0"/>
          <w:szCs w:val="28"/>
        </w:rPr>
        <w:t xml:space="preserve"> года</w:t>
      </w:r>
      <w:r w:rsidR="00A560B7" w:rsidRPr="001C3F79">
        <w:rPr>
          <w:b w:val="0"/>
          <w:bCs w:val="0"/>
          <w:szCs w:val="28"/>
        </w:rPr>
        <w:t xml:space="preserve"> по итогам обследований </w:t>
      </w:r>
      <w:r w:rsidR="00140C1A" w:rsidRPr="001C3F79">
        <w:rPr>
          <w:b w:val="0"/>
          <w:bCs w:val="0"/>
          <w:szCs w:val="28"/>
        </w:rPr>
        <w:t xml:space="preserve">рабочей силы </w:t>
      </w:r>
      <w:r w:rsidR="00C41823" w:rsidRPr="001C3F79">
        <w:rPr>
          <w:b w:val="0"/>
          <w:bCs w:val="0"/>
          <w:szCs w:val="28"/>
        </w:rPr>
        <w:br/>
      </w:r>
      <w:r w:rsidR="001B6049">
        <w:rPr>
          <w:b w:val="0"/>
          <w:bCs w:val="0"/>
          <w:szCs w:val="28"/>
        </w:rPr>
        <w:t>83,4</w:t>
      </w:r>
      <w:r w:rsidR="00140C1A" w:rsidRPr="001C3F79">
        <w:rPr>
          <w:b w:val="0"/>
          <w:bCs w:val="0"/>
          <w:szCs w:val="28"/>
        </w:rPr>
        <w:t xml:space="preserve"> тыс. человек или </w:t>
      </w:r>
      <w:r w:rsidRPr="001C3F79">
        <w:rPr>
          <w:b w:val="0"/>
          <w:bCs w:val="0"/>
          <w:szCs w:val="28"/>
        </w:rPr>
        <w:t>2,</w:t>
      </w:r>
      <w:r w:rsidR="001B6049">
        <w:rPr>
          <w:b w:val="0"/>
          <w:bCs w:val="0"/>
          <w:szCs w:val="28"/>
        </w:rPr>
        <w:t>7</w:t>
      </w:r>
      <w:r w:rsidR="00A560B7" w:rsidRPr="001C3F79">
        <w:rPr>
          <w:b w:val="0"/>
          <w:bCs w:val="0"/>
          <w:szCs w:val="28"/>
        </w:rPr>
        <w:t xml:space="preserve">% </w:t>
      </w:r>
      <w:r w:rsidR="00140C1A" w:rsidRPr="001C3F79">
        <w:rPr>
          <w:b w:val="0"/>
          <w:bCs w:val="0"/>
          <w:szCs w:val="28"/>
        </w:rPr>
        <w:t>численности рабочей силы</w:t>
      </w:r>
      <w:r w:rsidR="00A560B7" w:rsidRPr="001C3F79">
        <w:rPr>
          <w:b w:val="0"/>
          <w:bCs w:val="0"/>
          <w:szCs w:val="28"/>
        </w:rPr>
        <w:t xml:space="preserve">, классифицировались </w:t>
      </w:r>
      <w:r w:rsidR="00C41823" w:rsidRPr="001C3F79">
        <w:rPr>
          <w:b w:val="0"/>
          <w:bCs w:val="0"/>
          <w:szCs w:val="28"/>
        </w:rPr>
        <w:br/>
      </w:r>
      <w:r w:rsidR="00A560B7" w:rsidRPr="001C3F79">
        <w:rPr>
          <w:b w:val="0"/>
          <w:bCs w:val="0"/>
          <w:szCs w:val="28"/>
        </w:rPr>
        <w:t>как безработные (в соответствии с методологией Международной Организации Труда).</w:t>
      </w:r>
    </w:p>
    <w:p w14:paraId="6FC73282" w14:textId="28BBBC14" w:rsidR="00A560B7" w:rsidRPr="00EE1D10" w:rsidRDefault="00A560B7" w:rsidP="00A560B7">
      <w:pPr>
        <w:pStyle w:val="aa"/>
        <w:ind w:firstLine="567"/>
        <w:jc w:val="both"/>
        <w:rPr>
          <w:b w:val="0"/>
          <w:bCs w:val="0"/>
          <w:color w:val="FF0000"/>
          <w:szCs w:val="28"/>
        </w:rPr>
      </w:pPr>
      <w:r w:rsidRPr="001C3F79">
        <w:rPr>
          <w:b w:val="0"/>
          <w:bCs w:val="0"/>
          <w:szCs w:val="28"/>
        </w:rPr>
        <w:t xml:space="preserve">На конец </w:t>
      </w:r>
      <w:r w:rsidR="00140C1A" w:rsidRPr="001C3F79">
        <w:rPr>
          <w:b w:val="0"/>
          <w:bCs w:val="0"/>
          <w:szCs w:val="28"/>
        </w:rPr>
        <w:t xml:space="preserve">июня текущего года </w:t>
      </w:r>
      <w:r w:rsidRPr="001C3F79">
        <w:rPr>
          <w:b w:val="0"/>
          <w:bCs w:val="0"/>
          <w:szCs w:val="28"/>
        </w:rPr>
        <w:t>в государственных учреждениях службы занятост</w:t>
      </w:r>
      <w:r w:rsidR="00140C1A" w:rsidRPr="001C3F79">
        <w:rPr>
          <w:b w:val="0"/>
          <w:bCs w:val="0"/>
          <w:szCs w:val="28"/>
        </w:rPr>
        <w:t xml:space="preserve">и населения состояло на учете </w:t>
      </w:r>
      <w:r w:rsidR="001C3F79" w:rsidRPr="001C3F79">
        <w:rPr>
          <w:b w:val="0"/>
          <w:bCs w:val="0"/>
          <w:szCs w:val="28"/>
        </w:rPr>
        <w:t>106</w:t>
      </w:r>
      <w:r w:rsidR="00C81083" w:rsidRPr="001C3F79">
        <w:rPr>
          <w:b w:val="0"/>
          <w:bCs w:val="0"/>
          <w:szCs w:val="28"/>
        </w:rPr>
        <w:t>,4</w:t>
      </w:r>
      <w:r w:rsidRPr="001C3F79">
        <w:rPr>
          <w:b w:val="0"/>
          <w:bCs w:val="0"/>
          <w:szCs w:val="28"/>
        </w:rPr>
        <w:t> тыс. не занятых трудовой</w:t>
      </w:r>
      <w:r w:rsidR="006A6C42" w:rsidRPr="001C3F79">
        <w:rPr>
          <w:b w:val="0"/>
          <w:bCs w:val="0"/>
          <w:szCs w:val="28"/>
        </w:rPr>
        <w:t xml:space="preserve"> деятельностью граждан</w:t>
      </w:r>
      <w:r w:rsidR="00140C1A" w:rsidRPr="001C3F79">
        <w:rPr>
          <w:b w:val="0"/>
          <w:bCs w:val="0"/>
          <w:szCs w:val="28"/>
        </w:rPr>
        <w:t xml:space="preserve">, из них </w:t>
      </w:r>
      <w:r w:rsidR="001C3F79" w:rsidRPr="001C3F79">
        <w:rPr>
          <w:b w:val="0"/>
          <w:bCs w:val="0"/>
          <w:szCs w:val="28"/>
        </w:rPr>
        <w:t>91,8</w:t>
      </w:r>
      <w:r w:rsidRPr="001C3F79">
        <w:rPr>
          <w:b w:val="0"/>
          <w:bCs w:val="0"/>
          <w:szCs w:val="28"/>
        </w:rPr>
        <w:t xml:space="preserve"> тыс. человек имели статус безработн</w:t>
      </w:r>
      <w:r w:rsidR="00140C1A" w:rsidRPr="001C3F79">
        <w:rPr>
          <w:b w:val="0"/>
          <w:bCs w:val="0"/>
          <w:szCs w:val="28"/>
        </w:rPr>
        <w:t>ого</w:t>
      </w:r>
      <w:r w:rsidRPr="001C3F79">
        <w:rPr>
          <w:b w:val="0"/>
          <w:bCs w:val="0"/>
          <w:szCs w:val="28"/>
        </w:rPr>
        <w:t xml:space="preserve">. Уровень регистрируемой безработицы </w:t>
      </w:r>
      <w:r w:rsidR="00140C1A" w:rsidRPr="001C3F79">
        <w:rPr>
          <w:b w:val="0"/>
          <w:bCs w:val="0"/>
          <w:szCs w:val="28"/>
        </w:rPr>
        <w:t>на конец июня 201</w:t>
      </w:r>
      <w:r w:rsidR="00C81083" w:rsidRPr="001C3F79">
        <w:rPr>
          <w:b w:val="0"/>
          <w:bCs w:val="0"/>
          <w:szCs w:val="28"/>
        </w:rPr>
        <w:t>9</w:t>
      </w:r>
      <w:r w:rsidR="00140C1A" w:rsidRPr="001C3F79">
        <w:rPr>
          <w:b w:val="0"/>
          <w:bCs w:val="0"/>
          <w:szCs w:val="28"/>
        </w:rPr>
        <w:t xml:space="preserve"> года составил</w:t>
      </w:r>
      <w:r w:rsidRPr="001C3F79">
        <w:rPr>
          <w:b w:val="0"/>
          <w:bCs w:val="0"/>
          <w:szCs w:val="28"/>
        </w:rPr>
        <w:t xml:space="preserve"> </w:t>
      </w:r>
      <w:r w:rsidR="001C3F79" w:rsidRPr="001C3F79">
        <w:rPr>
          <w:b w:val="0"/>
          <w:bCs w:val="0"/>
          <w:szCs w:val="28"/>
        </w:rPr>
        <w:t>3,0</w:t>
      </w:r>
      <w:r w:rsidRPr="001C3F79">
        <w:rPr>
          <w:b w:val="0"/>
          <w:bCs w:val="0"/>
          <w:szCs w:val="28"/>
        </w:rPr>
        <w:t xml:space="preserve">% </w:t>
      </w:r>
      <w:r w:rsidR="00BE165E" w:rsidRPr="001C3F79">
        <w:rPr>
          <w:b w:val="0"/>
          <w:bCs w:val="0"/>
          <w:szCs w:val="28"/>
        </w:rPr>
        <w:t>(0,</w:t>
      </w:r>
      <w:r w:rsidR="001C3F79" w:rsidRPr="001C3F79">
        <w:rPr>
          <w:b w:val="0"/>
          <w:bCs w:val="0"/>
          <w:szCs w:val="28"/>
        </w:rPr>
        <w:t>4</w:t>
      </w:r>
      <w:r w:rsidR="007817BD" w:rsidRPr="001C3F79">
        <w:rPr>
          <w:b w:val="0"/>
          <w:bCs w:val="0"/>
          <w:szCs w:val="28"/>
        </w:rPr>
        <w:t xml:space="preserve">% </w:t>
      </w:r>
      <w:r w:rsidR="004B14BF" w:rsidRPr="001C3F79">
        <w:rPr>
          <w:b w:val="0"/>
          <w:bCs w:val="0"/>
          <w:szCs w:val="28"/>
        </w:rPr>
        <w:t>–</w:t>
      </w:r>
      <w:r w:rsidR="007817BD" w:rsidRPr="001C3F79">
        <w:rPr>
          <w:b w:val="0"/>
          <w:bCs w:val="0"/>
          <w:szCs w:val="28"/>
        </w:rPr>
        <w:t xml:space="preserve"> на конец </w:t>
      </w:r>
      <w:r w:rsidR="00BE165E" w:rsidRPr="001C3F79">
        <w:rPr>
          <w:b w:val="0"/>
          <w:bCs w:val="0"/>
          <w:szCs w:val="28"/>
        </w:rPr>
        <w:t>июня 201</w:t>
      </w:r>
      <w:r w:rsidR="001C3F79" w:rsidRPr="001C3F79">
        <w:rPr>
          <w:b w:val="0"/>
          <w:bCs w:val="0"/>
          <w:szCs w:val="28"/>
        </w:rPr>
        <w:t>9</w:t>
      </w:r>
      <w:r w:rsidR="007817BD" w:rsidRPr="001C3F79">
        <w:rPr>
          <w:b w:val="0"/>
          <w:bCs w:val="0"/>
          <w:szCs w:val="28"/>
        </w:rPr>
        <w:t xml:space="preserve"> года)</w:t>
      </w:r>
      <w:r w:rsidRPr="001C3F79">
        <w:rPr>
          <w:b w:val="0"/>
          <w:bCs w:val="0"/>
          <w:szCs w:val="28"/>
        </w:rPr>
        <w:t>.</w:t>
      </w:r>
    </w:p>
    <w:p w14:paraId="47E9A6C7" w14:textId="77777777" w:rsidR="003F010E" w:rsidRPr="00EE1D10" w:rsidRDefault="003F010E" w:rsidP="00A560B7">
      <w:pPr>
        <w:pStyle w:val="aa"/>
        <w:ind w:firstLine="567"/>
        <w:jc w:val="both"/>
        <w:rPr>
          <w:b w:val="0"/>
          <w:bCs w:val="0"/>
          <w:color w:val="FF0000"/>
          <w:szCs w:val="28"/>
        </w:rPr>
      </w:pPr>
    </w:p>
    <w:p w14:paraId="69AFFC61" w14:textId="6ECDCFB9" w:rsidR="00A80642" w:rsidRPr="00EE1D10" w:rsidRDefault="00A80642" w:rsidP="006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E1D1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7FC62AE" wp14:editId="68A6CFEF">
            <wp:extent cx="5848350" cy="1647825"/>
            <wp:effectExtent l="0" t="0" r="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71F825" w14:textId="77777777" w:rsidR="00291261" w:rsidRPr="00EE1D10" w:rsidRDefault="00291261" w:rsidP="00140C1A">
      <w:pPr>
        <w:pStyle w:val="aa"/>
        <w:ind w:firstLine="567"/>
        <w:jc w:val="both"/>
        <w:rPr>
          <w:b w:val="0"/>
          <w:bCs w:val="0"/>
          <w:color w:val="FF0000"/>
          <w:szCs w:val="28"/>
        </w:rPr>
      </w:pPr>
    </w:p>
    <w:p w14:paraId="72497449" w14:textId="67449D32" w:rsidR="0012011E" w:rsidRPr="001C3F79" w:rsidRDefault="00037B5C" w:rsidP="0012011E">
      <w:pPr>
        <w:pStyle w:val="aa"/>
        <w:ind w:firstLine="567"/>
        <w:jc w:val="both"/>
        <w:rPr>
          <w:b w:val="0"/>
          <w:bCs w:val="0"/>
          <w:szCs w:val="28"/>
        </w:rPr>
      </w:pPr>
      <w:r w:rsidRPr="001C3F79">
        <w:rPr>
          <w:b w:val="0"/>
          <w:bCs w:val="0"/>
          <w:szCs w:val="28"/>
        </w:rPr>
        <w:t xml:space="preserve">На конец </w:t>
      </w:r>
      <w:r w:rsidR="00BE165E" w:rsidRPr="001C3F79">
        <w:rPr>
          <w:b w:val="0"/>
          <w:bCs w:val="0"/>
          <w:szCs w:val="28"/>
        </w:rPr>
        <w:t>июня 20</w:t>
      </w:r>
      <w:r w:rsidR="001C3F79" w:rsidRPr="001C3F79">
        <w:rPr>
          <w:b w:val="0"/>
          <w:bCs w:val="0"/>
          <w:szCs w:val="28"/>
        </w:rPr>
        <w:t>20</w:t>
      </w:r>
      <w:r w:rsidR="00C802DE" w:rsidRPr="001C3F79">
        <w:rPr>
          <w:b w:val="0"/>
          <w:bCs w:val="0"/>
          <w:szCs w:val="28"/>
        </w:rPr>
        <w:t xml:space="preserve"> года заявленная работодателями потре</w:t>
      </w:r>
      <w:r w:rsidRPr="001C3F79">
        <w:rPr>
          <w:b w:val="0"/>
          <w:bCs w:val="0"/>
          <w:szCs w:val="28"/>
        </w:rPr>
        <w:t xml:space="preserve">бность </w:t>
      </w:r>
      <w:r w:rsidR="008060BC" w:rsidRPr="001C3F79">
        <w:rPr>
          <w:b w:val="0"/>
          <w:bCs w:val="0"/>
          <w:szCs w:val="28"/>
        </w:rPr>
        <w:br/>
      </w:r>
      <w:r w:rsidR="00140C1A" w:rsidRPr="001C3F79">
        <w:rPr>
          <w:b w:val="0"/>
          <w:bCs w:val="0"/>
          <w:szCs w:val="28"/>
        </w:rPr>
        <w:t xml:space="preserve">в работниках составила </w:t>
      </w:r>
      <w:r w:rsidR="001C3F79" w:rsidRPr="001C3F79">
        <w:rPr>
          <w:b w:val="0"/>
          <w:bCs w:val="0"/>
          <w:szCs w:val="28"/>
        </w:rPr>
        <w:t>34,0</w:t>
      </w:r>
      <w:r w:rsidR="0012011E" w:rsidRPr="001C3F79">
        <w:rPr>
          <w:b w:val="0"/>
          <w:bCs w:val="0"/>
          <w:szCs w:val="28"/>
        </w:rPr>
        <w:t xml:space="preserve"> тыс. вакансий</w:t>
      </w:r>
      <w:r w:rsidR="00C802DE" w:rsidRPr="001C3F79">
        <w:rPr>
          <w:b w:val="0"/>
          <w:bCs w:val="0"/>
          <w:szCs w:val="28"/>
        </w:rPr>
        <w:t>.</w:t>
      </w:r>
      <w:r w:rsidR="00140C1A" w:rsidRPr="001C3F79">
        <w:rPr>
          <w:b w:val="0"/>
          <w:bCs w:val="0"/>
          <w:szCs w:val="28"/>
        </w:rPr>
        <w:t xml:space="preserve"> </w:t>
      </w:r>
    </w:p>
    <w:p w14:paraId="06FF145A" w14:textId="77777777" w:rsidR="00676464" w:rsidRPr="00EE1D10" w:rsidRDefault="00676464" w:rsidP="00E048BE">
      <w:pPr>
        <w:pStyle w:val="aa"/>
        <w:ind w:firstLine="567"/>
        <w:jc w:val="both"/>
        <w:rPr>
          <w:b w:val="0"/>
          <w:bCs w:val="0"/>
          <w:color w:val="FF0000"/>
          <w:sz w:val="20"/>
        </w:rPr>
      </w:pPr>
    </w:p>
    <w:p w14:paraId="02BC6FAE" w14:textId="77777777" w:rsidR="00703DD3" w:rsidRPr="00EE1D10" w:rsidRDefault="009E3D33" w:rsidP="00C41823">
      <w:pPr>
        <w:pStyle w:val="aa"/>
        <w:jc w:val="both"/>
        <w:rPr>
          <w:b w:val="0"/>
          <w:bCs w:val="0"/>
          <w:color w:val="FF0000"/>
          <w:szCs w:val="28"/>
        </w:rPr>
      </w:pPr>
      <w:r w:rsidRPr="00EE1D10">
        <w:rPr>
          <w:rFonts w:ascii="Verdana" w:hAnsi="Verdana"/>
          <w:noProof/>
          <w:color w:val="FF0000"/>
          <w:sz w:val="10"/>
          <w:szCs w:val="10"/>
          <w:highlight w:val="yellow"/>
        </w:rPr>
        <w:drawing>
          <wp:anchor distT="0" distB="0" distL="114300" distR="114300" simplePos="0" relativeHeight="251696128" behindDoc="0" locked="0" layoutInCell="1" allowOverlap="1" wp14:anchorId="46FACE5C" wp14:editId="50B0837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32170" cy="200025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DD3" w:rsidRPr="00EE1D1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B58879" wp14:editId="72418643">
                <wp:simplePos x="0" y="0"/>
                <wp:positionH relativeFrom="column">
                  <wp:posOffset>5419903</wp:posOffset>
                </wp:positionH>
                <wp:positionV relativeFrom="paragraph">
                  <wp:posOffset>794156</wp:posOffset>
                </wp:positionV>
                <wp:extent cx="0" cy="567538"/>
                <wp:effectExtent l="0" t="0" r="19050" b="23495"/>
                <wp:wrapNone/>
                <wp:docPr id="2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53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297BC7" id="Прямая соединительная линия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75pt,62.55pt" to="426.7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" strokecolor="#4a7ebb">
                <v:stroke dashstyle="dash"/>
              </v:line>
            </w:pict>
          </mc:Fallback>
        </mc:AlternateContent>
      </w:r>
      <w:r w:rsidR="00703DD3" w:rsidRPr="00EE1D1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C89F5D" wp14:editId="6996A9B2">
                <wp:simplePos x="0" y="0"/>
                <wp:positionH relativeFrom="column">
                  <wp:posOffset>3079039</wp:posOffset>
                </wp:positionH>
                <wp:positionV relativeFrom="paragraph">
                  <wp:posOffset>845362</wp:posOffset>
                </wp:positionV>
                <wp:extent cx="0" cy="516331"/>
                <wp:effectExtent l="0" t="0" r="19050" b="0"/>
                <wp:wrapNone/>
                <wp:docPr id="2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33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37985F" id="Прямая соединительная линия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5pt,66.55pt" to="242.4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" strokecolor="#4579b8 [3044]">
                <v:stroke dashstyle="dash"/>
              </v:line>
            </w:pict>
          </mc:Fallback>
        </mc:AlternateContent>
      </w:r>
      <w:r w:rsidR="00703DD3" w:rsidRPr="00EE1D1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F8F59E" wp14:editId="10F39414">
                <wp:simplePos x="0" y="0"/>
                <wp:positionH relativeFrom="column">
                  <wp:posOffset>739419</wp:posOffset>
                </wp:positionH>
                <wp:positionV relativeFrom="paragraph">
                  <wp:posOffset>706374</wp:posOffset>
                </wp:positionV>
                <wp:extent cx="0" cy="655803"/>
                <wp:effectExtent l="0" t="0" r="19050" b="0"/>
                <wp:wrapNone/>
                <wp:docPr id="2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80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32CB78" id="Прямая соединительная линия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55.6pt" to="58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" strokecolor="#4579b8 [3044]">
                <v:stroke dashstyle="dash"/>
              </v:line>
            </w:pict>
          </mc:Fallback>
        </mc:AlternateContent>
      </w:r>
    </w:p>
    <w:p w14:paraId="1215156B" w14:textId="4E7ED0D3" w:rsidR="00C802DE" w:rsidRPr="00EE1D10" w:rsidRDefault="00140C1A" w:rsidP="00291261">
      <w:pPr>
        <w:pStyle w:val="aa"/>
        <w:ind w:firstLine="567"/>
        <w:jc w:val="both"/>
        <w:rPr>
          <w:b w:val="0"/>
          <w:bCs w:val="0"/>
          <w:color w:val="FF0000"/>
          <w:szCs w:val="28"/>
        </w:rPr>
      </w:pPr>
      <w:r w:rsidRPr="004C0A64">
        <w:rPr>
          <w:b w:val="0"/>
          <w:bCs w:val="0"/>
          <w:szCs w:val="28"/>
        </w:rPr>
        <w:t>К концу июня 20</w:t>
      </w:r>
      <w:r w:rsidR="00CF1A61" w:rsidRPr="004C0A64">
        <w:rPr>
          <w:b w:val="0"/>
          <w:bCs w:val="0"/>
          <w:szCs w:val="28"/>
        </w:rPr>
        <w:t>20</w:t>
      </w:r>
      <w:r w:rsidR="00C802DE" w:rsidRPr="004C0A64">
        <w:rPr>
          <w:b w:val="0"/>
          <w:bCs w:val="0"/>
          <w:szCs w:val="28"/>
        </w:rPr>
        <w:t xml:space="preserve"> года нагрузка незанятого населения, состоящего </w:t>
      </w:r>
      <w:r w:rsidR="002D026E" w:rsidRPr="004C0A64">
        <w:rPr>
          <w:b w:val="0"/>
          <w:bCs w:val="0"/>
          <w:szCs w:val="28"/>
        </w:rPr>
        <w:br/>
      </w:r>
      <w:r w:rsidR="00C802DE" w:rsidRPr="004C0A64">
        <w:rPr>
          <w:b w:val="0"/>
          <w:bCs w:val="0"/>
          <w:szCs w:val="28"/>
        </w:rPr>
        <w:t xml:space="preserve">на учете в государственных учреждениях службы занятости населения, </w:t>
      </w:r>
      <w:r w:rsidR="00560336" w:rsidRPr="004C0A64">
        <w:rPr>
          <w:b w:val="0"/>
          <w:bCs w:val="0"/>
          <w:szCs w:val="28"/>
        </w:rPr>
        <w:br/>
      </w:r>
      <w:r w:rsidR="00C802DE" w:rsidRPr="004C0A64">
        <w:rPr>
          <w:b w:val="0"/>
          <w:bCs w:val="0"/>
          <w:szCs w:val="28"/>
        </w:rPr>
        <w:t>на одну заявленну</w:t>
      </w:r>
      <w:r w:rsidR="00FB28AB" w:rsidRPr="004C0A64">
        <w:rPr>
          <w:b w:val="0"/>
          <w:bCs w:val="0"/>
          <w:szCs w:val="28"/>
        </w:rPr>
        <w:t>ю вакансию состави</w:t>
      </w:r>
      <w:r w:rsidR="00FB28AB" w:rsidRPr="00120F04">
        <w:rPr>
          <w:b w:val="0"/>
          <w:bCs w:val="0"/>
          <w:szCs w:val="28"/>
        </w:rPr>
        <w:t xml:space="preserve">ла </w:t>
      </w:r>
      <w:r w:rsidR="004C0A64" w:rsidRPr="00120F04">
        <w:rPr>
          <w:b w:val="0"/>
          <w:bCs w:val="0"/>
          <w:szCs w:val="28"/>
        </w:rPr>
        <w:t>3,1</w:t>
      </w:r>
      <w:r w:rsidR="00FB28AB" w:rsidRPr="00120F04">
        <w:rPr>
          <w:b w:val="0"/>
          <w:bCs w:val="0"/>
          <w:szCs w:val="28"/>
        </w:rPr>
        <w:t xml:space="preserve"> человек (в июне 201</w:t>
      </w:r>
      <w:r w:rsidR="00120F04" w:rsidRPr="00120F04">
        <w:rPr>
          <w:b w:val="0"/>
          <w:bCs w:val="0"/>
          <w:szCs w:val="28"/>
        </w:rPr>
        <w:t>9</w:t>
      </w:r>
      <w:r w:rsidR="00FB28AB" w:rsidRPr="00120F04">
        <w:rPr>
          <w:b w:val="0"/>
          <w:bCs w:val="0"/>
          <w:szCs w:val="28"/>
        </w:rPr>
        <w:t xml:space="preserve"> года </w:t>
      </w:r>
      <w:r w:rsidR="00E048BE" w:rsidRPr="00120F04">
        <w:rPr>
          <w:b w:val="0"/>
          <w:bCs w:val="0"/>
          <w:szCs w:val="28"/>
        </w:rPr>
        <w:t>–</w:t>
      </w:r>
      <w:r w:rsidR="00FB28AB" w:rsidRPr="00120F04">
        <w:rPr>
          <w:b w:val="0"/>
          <w:bCs w:val="0"/>
          <w:szCs w:val="28"/>
        </w:rPr>
        <w:t xml:space="preserve"> </w:t>
      </w:r>
      <w:r w:rsidR="00560336" w:rsidRPr="00120F04">
        <w:rPr>
          <w:b w:val="0"/>
          <w:bCs w:val="0"/>
          <w:szCs w:val="28"/>
        </w:rPr>
        <w:br/>
      </w:r>
      <w:r w:rsidR="00037B5C" w:rsidRPr="00120F04">
        <w:rPr>
          <w:b w:val="0"/>
          <w:bCs w:val="0"/>
          <w:szCs w:val="28"/>
        </w:rPr>
        <w:t>0,</w:t>
      </w:r>
      <w:r w:rsidR="00291261" w:rsidRPr="00120F04">
        <w:rPr>
          <w:b w:val="0"/>
          <w:bCs w:val="0"/>
          <w:szCs w:val="28"/>
        </w:rPr>
        <w:t>5</w:t>
      </w:r>
      <w:r w:rsidR="00FB28AB" w:rsidRPr="00120F04">
        <w:rPr>
          <w:b w:val="0"/>
          <w:bCs w:val="0"/>
          <w:szCs w:val="28"/>
        </w:rPr>
        <w:t xml:space="preserve"> чел./вакансию).</w:t>
      </w:r>
    </w:p>
    <w:p w14:paraId="4DE36DFC" w14:textId="77777777" w:rsidR="003E48EA" w:rsidRPr="00EE1D10" w:rsidRDefault="003E48EA" w:rsidP="00636981">
      <w:pPr>
        <w:pStyle w:val="a8"/>
        <w:ind w:firstLine="0"/>
        <w:rPr>
          <w:color w:val="FF0000"/>
          <w:szCs w:val="28"/>
        </w:rPr>
      </w:pPr>
    </w:p>
    <w:p w14:paraId="28FF2B4C" w14:textId="77777777" w:rsidR="005161B4" w:rsidRPr="00120F04" w:rsidRDefault="005161B4" w:rsidP="00560336">
      <w:pPr>
        <w:pStyle w:val="aa"/>
        <w:rPr>
          <w:bCs w:val="0"/>
          <w:szCs w:val="28"/>
        </w:rPr>
      </w:pPr>
      <w:r w:rsidRPr="001B6049">
        <w:rPr>
          <w:bCs w:val="0"/>
          <w:szCs w:val="28"/>
        </w:rPr>
        <w:t>ДОХОДЫ НАСЕЛЕНИЯ</w:t>
      </w:r>
    </w:p>
    <w:p w14:paraId="602CD8C6" w14:textId="77777777" w:rsidR="00291261" w:rsidRPr="00EE1D10" w:rsidRDefault="00291261" w:rsidP="0081288B">
      <w:pPr>
        <w:pStyle w:val="aa"/>
        <w:ind w:firstLine="567"/>
        <w:rPr>
          <w:bCs w:val="0"/>
          <w:color w:val="FF0000"/>
          <w:szCs w:val="28"/>
        </w:rPr>
      </w:pPr>
    </w:p>
    <w:p w14:paraId="33851FCA" w14:textId="4A4DEE17" w:rsidR="00D733EC" w:rsidRPr="0063329F" w:rsidRDefault="00843DE0" w:rsidP="00D733EC">
      <w:pPr>
        <w:pStyle w:val="aa"/>
        <w:ind w:firstLine="567"/>
        <w:jc w:val="both"/>
        <w:rPr>
          <w:b w:val="0"/>
          <w:szCs w:val="28"/>
        </w:rPr>
      </w:pPr>
      <w:r w:rsidRPr="0063329F">
        <w:rPr>
          <w:b w:val="0"/>
          <w:bCs w:val="0"/>
          <w:szCs w:val="28"/>
        </w:rPr>
        <w:t xml:space="preserve">Средняя номинальная заработная плата, начисленная </w:t>
      </w:r>
      <w:r w:rsidR="0081288B" w:rsidRPr="0063329F">
        <w:rPr>
          <w:b w:val="0"/>
          <w:bCs w:val="0"/>
          <w:szCs w:val="28"/>
        </w:rPr>
        <w:br/>
      </w:r>
      <w:r w:rsidR="00F31751" w:rsidRPr="0063329F">
        <w:rPr>
          <w:b w:val="0"/>
          <w:bCs w:val="0"/>
          <w:szCs w:val="28"/>
        </w:rPr>
        <w:t xml:space="preserve">за </w:t>
      </w:r>
      <w:r w:rsidR="00C80B6F" w:rsidRPr="0063329F">
        <w:rPr>
          <w:b w:val="0"/>
          <w:bCs w:val="0"/>
          <w:szCs w:val="28"/>
        </w:rPr>
        <w:t>январь-</w:t>
      </w:r>
      <w:r w:rsidR="0063329F" w:rsidRPr="0063329F">
        <w:rPr>
          <w:b w:val="0"/>
          <w:bCs w:val="0"/>
          <w:szCs w:val="28"/>
        </w:rPr>
        <w:t>май</w:t>
      </w:r>
      <w:r w:rsidR="00C80B6F" w:rsidRPr="0063329F">
        <w:rPr>
          <w:b w:val="0"/>
          <w:bCs w:val="0"/>
          <w:szCs w:val="28"/>
        </w:rPr>
        <w:t xml:space="preserve"> 20</w:t>
      </w:r>
      <w:r w:rsidR="0063329F" w:rsidRPr="0063329F">
        <w:rPr>
          <w:b w:val="0"/>
          <w:bCs w:val="0"/>
          <w:szCs w:val="28"/>
        </w:rPr>
        <w:t>20</w:t>
      </w:r>
      <w:r w:rsidR="00C80B6F" w:rsidRPr="0063329F">
        <w:rPr>
          <w:b w:val="0"/>
          <w:bCs w:val="0"/>
          <w:szCs w:val="28"/>
        </w:rPr>
        <w:t xml:space="preserve"> </w:t>
      </w:r>
      <w:r w:rsidR="00F31751" w:rsidRPr="0063329F">
        <w:rPr>
          <w:b w:val="0"/>
          <w:bCs w:val="0"/>
          <w:szCs w:val="28"/>
        </w:rPr>
        <w:t>год</w:t>
      </w:r>
      <w:r w:rsidR="00C80B6F" w:rsidRPr="0063329F">
        <w:rPr>
          <w:b w:val="0"/>
          <w:bCs w:val="0"/>
          <w:szCs w:val="28"/>
        </w:rPr>
        <w:t>а</w:t>
      </w:r>
      <w:r w:rsidR="00F31751" w:rsidRPr="0063329F">
        <w:rPr>
          <w:b w:val="0"/>
          <w:bCs w:val="0"/>
          <w:szCs w:val="28"/>
        </w:rPr>
        <w:t>,</w:t>
      </w:r>
      <w:r w:rsidRPr="0063329F">
        <w:rPr>
          <w:b w:val="0"/>
          <w:bCs w:val="0"/>
          <w:szCs w:val="28"/>
        </w:rPr>
        <w:t xml:space="preserve"> составила </w:t>
      </w:r>
      <w:r w:rsidR="00A25481" w:rsidRPr="0063329F">
        <w:rPr>
          <w:b w:val="0"/>
          <w:bCs w:val="0"/>
          <w:szCs w:val="28"/>
        </w:rPr>
        <w:t>6</w:t>
      </w:r>
      <w:r w:rsidR="0063329F" w:rsidRPr="0063329F">
        <w:rPr>
          <w:b w:val="0"/>
          <w:bCs w:val="0"/>
          <w:szCs w:val="28"/>
        </w:rPr>
        <w:t>5</w:t>
      </w:r>
      <w:r w:rsidR="00A25481" w:rsidRPr="0063329F">
        <w:rPr>
          <w:b w:val="0"/>
          <w:bCs w:val="0"/>
          <w:szCs w:val="28"/>
        </w:rPr>
        <w:t xml:space="preserve"> </w:t>
      </w:r>
      <w:r w:rsidR="0063329F" w:rsidRPr="0063329F">
        <w:rPr>
          <w:b w:val="0"/>
          <w:bCs w:val="0"/>
          <w:szCs w:val="28"/>
        </w:rPr>
        <w:t>337</w:t>
      </w:r>
      <w:r w:rsidR="00C80B6F" w:rsidRPr="0063329F">
        <w:rPr>
          <w:b w:val="0"/>
          <w:bCs w:val="0"/>
          <w:szCs w:val="28"/>
        </w:rPr>
        <w:t xml:space="preserve"> руб. (</w:t>
      </w:r>
      <w:r w:rsidR="00115ACF" w:rsidRPr="0063329F">
        <w:rPr>
          <w:b w:val="0"/>
          <w:bCs w:val="0"/>
          <w:szCs w:val="28"/>
        </w:rPr>
        <w:t>103,</w:t>
      </w:r>
      <w:r w:rsidR="0063329F" w:rsidRPr="0063329F">
        <w:rPr>
          <w:b w:val="0"/>
          <w:bCs w:val="0"/>
          <w:szCs w:val="28"/>
        </w:rPr>
        <w:t>5</w:t>
      </w:r>
      <w:r w:rsidR="00F31751" w:rsidRPr="0063329F">
        <w:rPr>
          <w:b w:val="0"/>
          <w:bCs w:val="0"/>
          <w:szCs w:val="28"/>
        </w:rPr>
        <w:t xml:space="preserve">% к уровню </w:t>
      </w:r>
      <w:r w:rsidR="00C80B6F" w:rsidRPr="0063329F">
        <w:rPr>
          <w:b w:val="0"/>
          <w:bCs w:val="0"/>
          <w:szCs w:val="28"/>
        </w:rPr>
        <w:t>января-</w:t>
      </w:r>
      <w:r w:rsidR="0063329F" w:rsidRPr="0063329F">
        <w:rPr>
          <w:b w:val="0"/>
          <w:bCs w:val="0"/>
          <w:szCs w:val="28"/>
        </w:rPr>
        <w:t>ма</w:t>
      </w:r>
      <w:r w:rsidR="00A25481" w:rsidRPr="0063329F">
        <w:rPr>
          <w:b w:val="0"/>
          <w:bCs w:val="0"/>
          <w:szCs w:val="28"/>
        </w:rPr>
        <w:t>я</w:t>
      </w:r>
      <w:r w:rsidR="00291261" w:rsidRPr="0063329F">
        <w:rPr>
          <w:b w:val="0"/>
          <w:bCs w:val="0"/>
          <w:szCs w:val="28"/>
        </w:rPr>
        <w:t xml:space="preserve"> </w:t>
      </w:r>
      <w:r w:rsidR="00560336" w:rsidRPr="0063329F">
        <w:rPr>
          <w:b w:val="0"/>
          <w:bCs w:val="0"/>
          <w:szCs w:val="28"/>
        </w:rPr>
        <w:br/>
      </w:r>
      <w:r w:rsidR="00C80B6F" w:rsidRPr="0063329F">
        <w:rPr>
          <w:b w:val="0"/>
          <w:bCs w:val="0"/>
          <w:szCs w:val="28"/>
        </w:rPr>
        <w:t>201</w:t>
      </w:r>
      <w:r w:rsidR="0063329F" w:rsidRPr="0063329F">
        <w:rPr>
          <w:b w:val="0"/>
          <w:bCs w:val="0"/>
          <w:szCs w:val="28"/>
        </w:rPr>
        <w:t>9</w:t>
      </w:r>
      <w:r w:rsidR="00D733EC" w:rsidRPr="0063329F">
        <w:rPr>
          <w:b w:val="0"/>
          <w:bCs w:val="0"/>
          <w:szCs w:val="28"/>
        </w:rPr>
        <w:t xml:space="preserve"> года</w:t>
      </w:r>
      <w:r w:rsidRPr="0063329F">
        <w:rPr>
          <w:b w:val="0"/>
          <w:bCs w:val="0"/>
          <w:szCs w:val="28"/>
        </w:rPr>
        <w:t xml:space="preserve">). </w:t>
      </w:r>
      <w:r w:rsidR="00D733EC" w:rsidRPr="0063329F">
        <w:rPr>
          <w:b w:val="0"/>
          <w:bCs w:val="0"/>
          <w:szCs w:val="28"/>
        </w:rPr>
        <w:t xml:space="preserve">Реальная заработная плата за тот же период составила </w:t>
      </w:r>
      <w:r w:rsidR="0063329F" w:rsidRPr="0063329F">
        <w:rPr>
          <w:b w:val="0"/>
          <w:bCs w:val="0"/>
          <w:szCs w:val="28"/>
        </w:rPr>
        <w:t>100,8</w:t>
      </w:r>
      <w:r w:rsidR="00D733EC" w:rsidRPr="0063329F">
        <w:rPr>
          <w:b w:val="0"/>
          <w:bCs w:val="0"/>
          <w:szCs w:val="28"/>
        </w:rPr>
        <w:t xml:space="preserve">% </w:t>
      </w:r>
      <w:r w:rsidR="00560336" w:rsidRPr="0063329F">
        <w:rPr>
          <w:b w:val="0"/>
          <w:bCs w:val="0"/>
          <w:szCs w:val="28"/>
        </w:rPr>
        <w:br/>
      </w:r>
      <w:r w:rsidR="00D733EC" w:rsidRPr="0063329F">
        <w:rPr>
          <w:b w:val="0"/>
          <w:bCs w:val="0"/>
          <w:szCs w:val="28"/>
        </w:rPr>
        <w:t xml:space="preserve">к </w:t>
      </w:r>
      <w:r w:rsidR="0063329F" w:rsidRPr="0063329F">
        <w:rPr>
          <w:b w:val="0"/>
          <w:bCs w:val="0"/>
          <w:szCs w:val="28"/>
        </w:rPr>
        <w:t xml:space="preserve">январю-маю </w:t>
      </w:r>
      <w:r w:rsidR="00C80B6F" w:rsidRPr="0063329F">
        <w:rPr>
          <w:b w:val="0"/>
          <w:bCs w:val="0"/>
          <w:szCs w:val="28"/>
        </w:rPr>
        <w:t>201</w:t>
      </w:r>
      <w:r w:rsidR="0063329F" w:rsidRPr="0063329F">
        <w:rPr>
          <w:b w:val="0"/>
          <w:bCs w:val="0"/>
          <w:szCs w:val="28"/>
        </w:rPr>
        <w:t>9</w:t>
      </w:r>
      <w:r w:rsidR="00D733EC" w:rsidRPr="0063329F">
        <w:rPr>
          <w:b w:val="0"/>
          <w:bCs w:val="0"/>
          <w:szCs w:val="28"/>
        </w:rPr>
        <w:t xml:space="preserve"> году, реальны</w:t>
      </w:r>
      <w:r w:rsidR="00291261" w:rsidRPr="0063329F">
        <w:rPr>
          <w:b w:val="0"/>
          <w:bCs w:val="0"/>
          <w:szCs w:val="28"/>
        </w:rPr>
        <w:t>е денежные доходы населения</w:t>
      </w:r>
      <w:r w:rsidR="00115ACF" w:rsidRPr="0063329F">
        <w:rPr>
          <w:b w:val="0"/>
          <w:bCs w:val="0"/>
          <w:szCs w:val="28"/>
        </w:rPr>
        <w:t xml:space="preserve"> за январь-март 20</w:t>
      </w:r>
      <w:r w:rsidR="0063329F" w:rsidRPr="0063329F">
        <w:rPr>
          <w:b w:val="0"/>
          <w:bCs w:val="0"/>
          <w:szCs w:val="28"/>
        </w:rPr>
        <w:t>20</w:t>
      </w:r>
      <w:r w:rsidR="00115ACF" w:rsidRPr="0063329F">
        <w:rPr>
          <w:b w:val="0"/>
          <w:bCs w:val="0"/>
          <w:szCs w:val="28"/>
        </w:rPr>
        <w:t xml:space="preserve"> года</w:t>
      </w:r>
      <w:r w:rsidR="0063329F" w:rsidRPr="0063329F">
        <w:rPr>
          <w:b w:val="0"/>
          <w:bCs w:val="0"/>
          <w:szCs w:val="28"/>
        </w:rPr>
        <w:t xml:space="preserve"> </w:t>
      </w:r>
      <w:r w:rsidR="00115ACF" w:rsidRPr="0063329F">
        <w:rPr>
          <w:b w:val="0"/>
          <w:bCs w:val="0"/>
          <w:szCs w:val="28"/>
        </w:rPr>
        <w:t>к аналогичному периоду 201</w:t>
      </w:r>
      <w:r w:rsidR="0063329F" w:rsidRPr="0063329F">
        <w:rPr>
          <w:b w:val="0"/>
          <w:bCs w:val="0"/>
          <w:szCs w:val="28"/>
        </w:rPr>
        <w:t>9</w:t>
      </w:r>
      <w:r w:rsidR="00115ACF" w:rsidRPr="0063329F">
        <w:rPr>
          <w:b w:val="0"/>
          <w:bCs w:val="0"/>
          <w:szCs w:val="28"/>
        </w:rPr>
        <w:t xml:space="preserve"> года составили </w:t>
      </w:r>
      <w:r w:rsidR="0063329F" w:rsidRPr="0063329F">
        <w:rPr>
          <w:b w:val="0"/>
          <w:bCs w:val="0"/>
          <w:szCs w:val="28"/>
        </w:rPr>
        <w:t>100,7</w:t>
      </w:r>
      <w:r w:rsidR="00C372B3" w:rsidRPr="0063329F">
        <w:rPr>
          <w:b w:val="0"/>
          <w:bCs w:val="0"/>
          <w:szCs w:val="28"/>
        </w:rPr>
        <w:t>%</w:t>
      </w:r>
      <w:r w:rsidR="0081288B" w:rsidRPr="0063329F">
        <w:rPr>
          <w:b w:val="0"/>
          <w:szCs w:val="28"/>
        </w:rPr>
        <w:t xml:space="preserve">. </w:t>
      </w:r>
    </w:p>
    <w:p w14:paraId="15214587" w14:textId="77777777" w:rsidR="00560336" w:rsidRPr="000C68C2" w:rsidRDefault="00560336" w:rsidP="00D733EC">
      <w:pPr>
        <w:pStyle w:val="aa"/>
        <w:ind w:firstLine="567"/>
        <w:jc w:val="both"/>
        <w:rPr>
          <w:b w:val="0"/>
          <w:szCs w:val="28"/>
        </w:rPr>
      </w:pPr>
    </w:p>
    <w:p w14:paraId="387507E9" w14:textId="77777777" w:rsidR="00DC02A8" w:rsidRPr="000C68C2" w:rsidRDefault="00D2666D" w:rsidP="00D2666D">
      <w:pPr>
        <w:pStyle w:val="aa"/>
        <w:jc w:val="both"/>
        <w:rPr>
          <w:rFonts w:ascii="Verdana" w:hAnsi="Verdana"/>
          <w:szCs w:val="28"/>
        </w:rPr>
      </w:pPr>
      <w:r w:rsidRPr="000C68C2">
        <w:rPr>
          <w:rFonts w:ascii="Verdana" w:hAnsi="Verdana"/>
          <w:noProof/>
          <w:sz w:val="16"/>
          <w:szCs w:val="16"/>
        </w:rPr>
        <w:drawing>
          <wp:inline distT="0" distB="0" distL="0" distR="0" wp14:anchorId="6B848965" wp14:editId="66361CD6">
            <wp:extent cx="6067425" cy="1971675"/>
            <wp:effectExtent l="0" t="0" r="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48F46C" w14:textId="04D596F9" w:rsidR="00D160FC" w:rsidRDefault="00D160FC" w:rsidP="008128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5FB10F" w14:textId="6EEBB439" w:rsidR="00DC2BA3" w:rsidRPr="001B6049" w:rsidRDefault="00DC70F5" w:rsidP="00DC70F5">
      <w:pPr>
        <w:tabs>
          <w:tab w:val="left" w:pos="426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49">
        <w:rPr>
          <w:rFonts w:ascii="Times New Roman" w:hAnsi="Times New Roman" w:cs="Times New Roman"/>
          <w:b/>
          <w:sz w:val="28"/>
          <w:szCs w:val="28"/>
        </w:rPr>
        <w:t>2. </w:t>
      </w:r>
      <w:r w:rsidR="00DC2BA3" w:rsidRPr="001B6049">
        <w:rPr>
          <w:rFonts w:ascii="Times New Roman" w:hAnsi="Times New Roman" w:cs="Times New Roman"/>
          <w:b/>
          <w:sz w:val="28"/>
          <w:szCs w:val="28"/>
        </w:rPr>
        <w:t xml:space="preserve">О прогнозе социально-экономического развития </w:t>
      </w:r>
      <w:r w:rsidR="006811CC" w:rsidRPr="001B6049">
        <w:rPr>
          <w:rFonts w:ascii="Times New Roman" w:hAnsi="Times New Roman" w:cs="Times New Roman"/>
          <w:b/>
          <w:sz w:val="28"/>
          <w:szCs w:val="28"/>
        </w:rPr>
        <w:br/>
      </w:r>
      <w:r w:rsidR="00DC2BA3" w:rsidRPr="001B6049">
        <w:rPr>
          <w:rFonts w:ascii="Times New Roman" w:hAnsi="Times New Roman" w:cs="Times New Roman"/>
          <w:b/>
          <w:sz w:val="28"/>
          <w:szCs w:val="28"/>
        </w:rPr>
        <w:t>Санкт-Петербурга на 20</w:t>
      </w:r>
      <w:r w:rsidR="00780A64" w:rsidRPr="001B6049">
        <w:rPr>
          <w:rFonts w:ascii="Times New Roman" w:hAnsi="Times New Roman" w:cs="Times New Roman"/>
          <w:b/>
          <w:sz w:val="28"/>
          <w:szCs w:val="28"/>
        </w:rPr>
        <w:t>2</w:t>
      </w:r>
      <w:r w:rsidR="00D1387E" w:rsidRPr="001B6049">
        <w:rPr>
          <w:rFonts w:ascii="Times New Roman" w:hAnsi="Times New Roman" w:cs="Times New Roman"/>
          <w:b/>
          <w:sz w:val="28"/>
          <w:szCs w:val="28"/>
        </w:rPr>
        <w:t>1</w:t>
      </w:r>
      <w:r w:rsidR="00DC2BA3" w:rsidRPr="001B604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33550F" w:rsidRPr="001B6049">
        <w:rPr>
          <w:rFonts w:ascii="Times New Roman" w:hAnsi="Times New Roman" w:cs="Times New Roman"/>
          <w:b/>
          <w:sz w:val="28"/>
          <w:szCs w:val="28"/>
        </w:rPr>
        <w:t>2</w:t>
      </w:r>
      <w:r w:rsidR="00D1387E" w:rsidRPr="001B6049">
        <w:rPr>
          <w:rFonts w:ascii="Times New Roman" w:hAnsi="Times New Roman" w:cs="Times New Roman"/>
          <w:b/>
          <w:sz w:val="28"/>
          <w:szCs w:val="28"/>
        </w:rPr>
        <w:t>2</w:t>
      </w:r>
      <w:r w:rsidR="00DC2BA3" w:rsidRPr="001B604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1387E" w:rsidRPr="001B6049">
        <w:rPr>
          <w:rFonts w:ascii="Times New Roman" w:hAnsi="Times New Roman" w:cs="Times New Roman"/>
          <w:b/>
          <w:sz w:val="28"/>
          <w:szCs w:val="28"/>
        </w:rPr>
        <w:t>3</w:t>
      </w:r>
      <w:r w:rsidR="00DC2BA3" w:rsidRPr="001B604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F3A31" w:rsidRPr="001B6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098" w:rsidRPr="001B6049">
        <w:rPr>
          <w:rFonts w:ascii="Times New Roman" w:hAnsi="Times New Roman" w:cs="Times New Roman"/>
          <w:b/>
          <w:sz w:val="28"/>
          <w:szCs w:val="28"/>
        </w:rPr>
        <w:br/>
      </w:r>
      <w:r w:rsidR="002F3A31" w:rsidRPr="001B6049">
        <w:rPr>
          <w:rFonts w:ascii="Times New Roman" w:hAnsi="Times New Roman" w:cs="Times New Roman"/>
          <w:b/>
          <w:sz w:val="28"/>
          <w:szCs w:val="28"/>
        </w:rPr>
        <w:t>(далее – прогноз)</w:t>
      </w:r>
    </w:p>
    <w:p w14:paraId="201837FC" w14:textId="77777777" w:rsidR="00703090" w:rsidRPr="000C68C2" w:rsidRDefault="00703090" w:rsidP="00BC6E1A">
      <w:pPr>
        <w:pStyle w:val="af5"/>
        <w:tabs>
          <w:tab w:val="left" w:pos="3600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C28867A" w14:textId="66A09719" w:rsidR="00DC2BA3" w:rsidRPr="000C68C2" w:rsidRDefault="00DC2BA3" w:rsidP="00D0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сформирован Комитетом по экономической политике </w:t>
      </w:r>
      <w:r w:rsidR="009239E2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стратегическому планированию Санкт-Петербурга (далее – Комитет) </w:t>
      </w:r>
      <w:r w:rsidR="009239E2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Санкт-Петербурга </w:t>
      </w:r>
      <w:r w:rsidR="009239E2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05.05.2011 № 555 «О мерах по разработке прогноза </w:t>
      </w:r>
      <w:r w:rsidR="009239E2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Санкт-Петербурга» и нормативно-методическими материалами, направленными письмом Министерства экономического </w:t>
      </w:r>
      <w:r w:rsidR="00E85996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Российской Федерации</w:t>
      </w:r>
      <w:r w:rsidR="0034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субъекты Российской Федерации</w:t>
      </w:r>
      <w:r w:rsidR="00E85996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исполнительных органов государственной власти </w:t>
      </w:r>
      <w:r w:rsidR="003435EF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BBDE8C" w14:textId="77777777" w:rsidR="00DC2BA3" w:rsidRPr="000C68C2" w:rsidRDefault="00DC2BA3" w:rsidP="00D0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прогноза учитывались:</w:t>
      </w:r>
    </w:p>
    <w:p w14:paraId="330ECA6A" w14:textId="1D3E987A" w:rsidR="007C1ABE" w:rsidRDefault="00DC2BA3" w:rsidP="007C1ABE">
      <w:pPr>
        <w:pStyle w:val="af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84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сценарные условия, основные параметры прогноза </w:t>
      </w:r>
      <w:r w:rsidR="006811CC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социально–экономического развития Российской Федерации </w:t>
      </w:r>
      <w:r w:rsid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</w:t>
      </w:r>
      <w:r w:rsid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</w:t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22C6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38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4069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68C010" w14:textId="35D741C3" w:rsidR="007C1ABE" w:rsidRDefault="007C1ABE" w:rsidP="007C1ABE">
      <w:pPr>
        <w:pStyle w:val="af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84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прогноз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Санкт-Петербурга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плановый период 2021 и 2022 годов, разработанный в ноябре 2019 года;</w:t>
      </w:r>
    </w:p>
    <w:p w14:paraId="714234E2" w14:textId="675CC06B" w:rsidR="007C1ABE" w:rsidRDefault="007C1ABE" w:rsidP="00EB37CF">
      <w:pPr>
        <w:pStyle w:val="af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84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и целевые индикаторы социально-экономического развития, сформулированные в Указах Прези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мая 2012 года, от 7 мая 2018 года;</w:t>
      </w:r>
    </w:p>
    <w:p w14:paraId="6FAAAF42" w14:textId="05A55B5B" w:rsidR="007C1ABE" w:rsidRDefault="007C1ABE" w:rsidP="00EB37CF">
      <w:pPr>
        <w:pStyle w:val="af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84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и целевые показатели, определенные Стратегией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социально-экономического развития Санкт-Петербурга на период </w:t>
      </w:r>
      <w:r w:rsidR="000B6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2035 года, утвержденной Законом Санкт-Петербурга от 19.12.2018 </w:t>
      </w:r>
      <w:r w:rsidR="000B6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771-164;</w:t>
      </w:r>
    </w:p>
    <w:p w14:paraId="2DD56051" w14:textId="2037EC9E" w:rsidR="007C1ABE" w:rsidRPr="007C1ABE" w:rsidRDefault="007C1ABE" w:rsidP="00EB37CF">
      <w:pPr>
        <w:pStyle w:val="af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84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социально-экономического развития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2018-2019 годы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январь-июнь 2020 года.</w:t>
      </w:r>
    </w:p>
    <w:p w14:paraId="6928C9E7" w14:textId="77777777" w:rsidR="00DC2BA3" w:rsidRPr="000C68C2" w:rsidRDefault="00DC2BA3" w:rsidP="00EB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в трех вариантах: консервативный, базовый и целевой.</w:t>
      </w:r>
    </w:p>
    <w:p w14:paraId="44BC1142" w14:textId="4D8F86AB" w:rsidR="007C1ABE" w:rsidRPr="007C1ABE" w:rsidRDefault="007C1ABE" w:rsidP="00EB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Консервативный вариант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инерци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внешнеэкономической нестабильности и низких темпах восстановления российской экономики в связи с последствиями неблагоприятной санитарно-эпидемиологической ситуации, вызванной распространением новой коронавирусной инфекции. Вместе с тем, ожидается, что экономика Санкт-Петербурга будет развиваться темпами выше общероссийских (индекс физического объема ВРП составит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среднем около 102,8% ежегодно), в том числе благодаря своей диверсифицированной структуре. В прогно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зном периоде существенный вклад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экономический рост будет вносить промышленность, преимущественно благодаря росту традиционных для Санкт-Петербурга видов обрабатывающих производств. Ожидается, что продолжится прирост инвестиций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основной капитал, которому в том числе будет способствовать реализация стабильной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предсказуемой политики Правительства 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делового климата и созданию комфортных условий ведения бизнеса.</w:t>
      </w:r>
    </w:p>
    <w:p w14:paraId="7DEEE425" w14:textId="44B9F8D7" w:rsidR="007C1ABE" w:rsidRPr="007C1ABE" w:rsidRDefault="007C1ABE" w:rsidP="00EB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вариант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инерционное развитие экономики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Санкт-Петербурга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стабилизации санитарно-эпидемиологической ситуации, снятия ограничительных мер по противодействию распространения новой коронавирусной инфекции, улучшения макроэкономической ситуации. 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7CF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Среднегодовые темпы роста ВРП Санкт-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Петербурга в прогнозном периоде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7CF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варианту оцениваются в среднем на </w:t>
      </w:r>
      <w:r w:rsidR="00EB37CF" w:rsidRP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3,4% ежегодно. </w:t>
      </w:r>
    </w:p>
    <w:p w14:paraId="50B3511B" w14:textId="148B4DBB" w:rsidR="007C1ABE" w:rsidRPr="007C1ABE" w:rsidRDefault="007C1ABE" w:rsidP="00EB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значительной концентрации, высокому потенциалу развития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государственной поддержке Правительством Санкт-Петербурга высокотехнологичных отраслей, в прогнозном периоде ожидается приток инвестиций, обеспеченный в том числе восстановлением внутрироссийского инвестиционного спроса. </w:t>
      </w:r>
    </w:p>
    <w:p w14:paraId="0A3B67C8" w14:textId="70158375" w:rsidR="007C1ABE" w:rsidRPr="007C1ABE" w:rsidRDefault="007C1ABE" w:rsidP="00EB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вариант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экономическое развитие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в наиболее благоприятн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внешнеэкономических условиях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основан на предположении о наиболее успешном использовании конкурентных преимуществ Санкт-Петербурга и инструментов ускорения социально-экономического роста путем реализации Правительством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 мер поддержки и стимулирования развития приоритетных отраслей, технологий и терр</w:t>
      </w:r>
      <w:r w:rsidR="00EB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иторий и планов мероприятий по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устойчивого развития экономики Санкт-Петербурга.</w:t>
      </w:r>
    </w:p>
    <w:p w14:paraId="5B5C7624" w14:textId="77777777" w:rsidR="00EB37CF" w:rsidRDefault="007C1ABE" w:rsidP="00EB37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трех вариантах экономического развития Санкт-Петербурга предполагается после 2021 года продолжение реализации Правительством Российской Федерации и Банком России денежно-кредитной политики в рамках режима инфляционного таргетирования, обеспечивающего нахождение инфляции вблизи уровня 4%. В консервативном варианте прогноза инфляционные процессы в экономике Санкт-Петербурга стабилизируются </w:t>
      </w:r>
      <w:r w:rsidRPr="007C1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уровне 103,9%, в целевом варианте - 103,8%, в том числе за счёт сдержанного тарифного регулирования естественных монополий. </w:t>
      </w:r>
    </w:p>
    <w:p w14:paraId="23BF6132" w14:textId="7F36E786" w:rsidR="002F3A31" w:rsidRPr="000C68C2" w:rsidRDefault="00B875C5" w:rsidP="00EB37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3A31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сложившейся ситуации в экономике, тенденций ее развития, в том числе </w:t>
      </w:r>
      <w:r w:rsidR="001A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параметров прогноза </w:t>
      </w:r>
      <w:r w:rsidR="002F3A31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</w:t>
      </w:r>
      <w:r w:rsidR="00703090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Российской Федерации </w:t>
      </w:r>
      <w:r w:rsidR="002F3A31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2611A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до 202</w:t>
      </w:r>
      <w:r w:rsidR="00D138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3A31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2611A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3A31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</w:t>
      </w:r>
      <w:r w:rsidR="001A26B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предположить</w:t>
      </w:r>
      <w:r w:rsidR="002F3A31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A31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трех вариантов Прогноза наиболее реалистичны</w:t>
      </w:r>
      <w:r w:rsidR="00A03029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является баз</w:t>
      </w:r>
      <w:r w:rsidR="002F3A31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вариант.</w:t>
      </w:r>
    </w:p>
    <w:p w14:paraId="00007457" w14:textId="5095478E" w:rsidR="009239E2" w:rsidRPr="000C68C2" w:rsidRDefault="002F3A31" w:rsidP="002F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764069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 Санкт-Петербурга</w:t>
      </w:r>
      <w:r w:rsidR="00764069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69" w:rsidRPr="000C68C2">
        <w:rPr>
          <w:rFonts w:ascii="Times New Roman" w:hAnsi="Times New Roman" w:cs="Times New Roman"/>
          <w:sz w:val="28"/>
          <w:szCs w:val="28"/>
        </w:rPr>
        <w:t>на 20</w:t>
      </w:r>
      <w:r w:rsidR="00405648" w:rsidRPr="000C68C2">
        <w:rPr>
          <w:rFonts w:ascii="Times New Roman" w:hAnsi="Times New Roman" w:cs="Times New Roman"/>
          <w:sz w:val="28"/>
          <w:szCs w:val="28"/>
        </w:rPr>
        <w:t>2</w:t>
      </w:r>
      <w:r w:rsidR="00D1387E">
        <w:rPr>
          <w:rFonts w:ascii="Times New Roman" w:hAnsi="Times New Roman" w:cs="Times New Roman"/>
          <w:sz w:val="28"/>
          <w:szCs w:val="28"/>
        </w:rPr>
        <w:t>1</w:t>
      </w:r>
      <w:r w:rsidR="00764069" w:rsidRPr="000C68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1387E">
        <w:rPr>
          <w:rFonts w:ascii="Times New Roman" w:hAnsi="Times New Roman" w:cs="Times New Roman"/>
          <w:sz w:val="28"/>
          <w:szCs w:val="28"/>
        </w:rPr>
        <w:t>2</w:t>
      </w:r>
      <w:r w:rsidR="00764069" w:rsidRPr="000C68C2">
        <w:rPr>
          <w:rFonts w:ascii="Times New Roman" w:hAnsi="Times New Roman" w:cs="Times New Roman"/>
          <w:sz w:val="28"/>
          <w:szCs w:val="28"/>
        </w:rPr>
        <w:t xml:space="preserve"> и 202</w:t>
      </w:r>
      <w:r w:rsidR="00D1387E">
        <w:rPr>
          <w:rFonts w:ascii="Times New Roman" w:hAnsi="Times New Roman" w:cs="Times New Roman"/>
          <w:sz w:val="28"/>
          <w:szCs w:val="28"/>
        </w:rPr>
        <w:t>3</w:t>
      </w:r>
      <w:r w:rsidR="00764069" w:rsidRPr="000C68C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4069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</w:t>
      </w:r>
      <w:r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239E2" w:rsidRPr="000C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приложении.</w:t>
      </w:r>
    </w:p>
    <w:p w14:paraId="2C7BD16C" w14:textId="36F4E936" w:rsidR="009239E2" w:rsidRPr="000C68C2" w:rsidRDefault="009239E2" w:rsidP="002F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DEF55" w14:textId="77777777" w:rsidR="00764069" w:rsidRPr="000C68C2" w:rsidRDefault="00764069" w:rsidP="002F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36201" w14:textId="77777777" w:rsidR="009239E2" w:rsidRPr="000C68C2" w:rsidRDefault="009239E2" w:rsidP="009239E2">
      <w:pPr>
        <w:pStyle w:val="ac"/>
        <w:spacing w:after="0"/>
        <w:ind w:right="-6"/>
        <w:rPr>
          <w:b/>
          <w:sz w:val="28"/>
          <w:szCs w:val="28"/>
        </w:rPr>
      </w:pPr>
      <w:r w:rsidRPr="000C68C2">
        <w:rPr>
          <w:b/>
          <w:sz w:val="28"/>
          <w:szCs w:val="28"/>
        </w:rPr>
        <w:t>Председатель Комитета</w:t>
      </w:r>
    </w:p>
    <w:p w14:paraId="4D8376D6" w14:textId="77777777" w:rsidR="009239E2" w:rsidRPr="000C68C2" w:rsidRDefault="009239E2" w:rsidP="009239E2">
      <w:pPr>
        <w:pStyle w:val="ac"/>
        <w:spacing w:after="0"/>
        <w:ind w:right="-6"/>
        <w:rPr>
          <w:b/>
          <w:sz w:val="28"/>
          <w:szCs w:val="28"/>
        </w:rPr>
      </w:pPr>
      <w:r w:rsidRPr="000C68C2">
        <w:rPr>
          <w:b/>
          <w:sz w:val="28"/>
          <w:szCs w:val="28"/>
        </w:rPr>
        <w:t>по экономической политике</w:t>
      </w:r>
    </w:p>
    <w:p w14:paraId="4772CB9B" w14:textId="77777777" w:rsidR="009239E2" w:rsidRPr="000C68C2" w:rsidRDefault="009239E2" w:rsidP="009239E2">
      <w:pPr>
        <w:pStyle w:val="ac"/>
        <w:spacing w:after="0"/>
        <w:ind w:right="-6"/>
        <w:rPr>
          <w:b/>
          <w:sz w:val="28"/>
          <w:szCs w:val="28"/>
        </w:rPr>
      </w:pPr>
      <w:r w:rsidRPr="000C68C2">
        <w:rPr>
          <w:b/>
          <w:sz w:val="28"/>
          <w:szCs w:val="28"/>
        </w:rPr>
        <w:t>и стратегическому планированию</w:t>
      </w:r>
    </w:p>
    <w:p w14:paraId="19F9C750" w14:textId="77777777" w:rsidR="009239E2" w:rsidRPr="000C68C2" w:rsidRDefault="009239E2" w:rsidP="00DC70F5">
      <w:pPr>
        <w:pStyle w:val="ac"/>
        <w:tabs>
          <w:tab w:val="left" w:pos="7513"/>
        </w:tabs>
        <w:spacing w:after="0"/>
        <w:ind w:right="-6"/>
        <w:rPr>
          <w:b/>
          <w:sz w:val="28"/>
          <w:szCs w:val="28"/>
        </w:rPr>
      </w:pPr>
      <w:r w:rsidRPr="000C68C2">
        <w:rPr>
          <w:b/>
          <w:sz w:val="28"/>
          <w:szCs w:val="28"/>
        </w:rPr>
        <w:t>Санкт-Петербурга</w:t>
      </w:r>
      <w:r w:rsidR="00DC70F5" w:rsidRPr="000C68C2">
        <w:rPr>
          <w:b/>
          <w:sz w:val="28"/>
          <w:szCs w:val="28"/>
        </w:rPr>
        <w:tab/>
      </w:r>
      <w:r w:rsidR="00405648" w:rsidRPr="000C68C2">
        <w:rPr>
          <w:b/>
          <w:sz w:val="28"/>
          <w:szCs w:val="28"/>
        </w:rPr>
        <w:t>В.Н.Москаленко</w:t>
      </w:r>
    </w:p>
    <w:p w14:paraId="1E5FFEEA" w14:textId="77777777" w:rsidR="00DC70F5" w:rsidRPr="000C68C2" w:rsidRDefault="00DC70F5" w:rsidP="009239E2">
      <w:pPr>
        <w:pStyle w:val="ac"/>
        <w:spacing w:after="0"/>
        <w:ind w:right="-6"/>
        <w:rPr>
          <w:b/>
          <w:sz w:val="28"/>
          <w:szCs w:val="28"/>
        </w:rPr>
      </w:pPr>
    </w:p>
    <w:p w14:paraId="63C308FC" w14:textId="77777777" w:rsidR="00DC70F5" w:rsidRPr="000C68C2" w:rsidRDefault="00DC70F5" w:rsidP="009239E2">
      <w:pPr>
        <w:pStyle w:val="ac"/>
        <w:spacing w:after="0"/>
        <w:ind w:right="-6"/>
        <w:rPr>
          <w:b/>
          <w:sz w:val="28"/>
          <w:szCs w:val="28"/>
        </w:rPr>
      </w:pPr>
    </w:p>
    <w:p w14:paraId="4C3C8B4E" w14:textId="77777777" w:rsidR="00DC70F5" w:rsidRPr="000C68C2" w:rsidRDefault="00DC70F5" w:rsidP="00DC70F5">
      <w:pPr>
        <w:pStyle w:val="ac"/>
        <w:spacing w:after="0"/>
        <w:ind w:right="-6"/>
        <w:rPr>
          <w:b/>
          <w:sz w:val="28"/>
          <w:szCs w:val="28"/>
        </w:rPr>
      </w:pPr>
      <w:r w:rsidRPr="000C68C2">
        <w:rPr>
          <w:b/>
          <w:sz w:val="28"/>
          <w:szCs w:val="28"/>
        </w:rPr>
        <w:t xml:space="preserve">Вице-губернатор </w:t>
      </w:r>
    </w:p>
    <w:p w14:paraId="49B90E6B" w14:textId="560C2F57" w:rsidR="00DC70F5" w:rsidRPr="000C68C2" w:rsidRDefault="00DC70F5" w:rsidP="001B1882">
      <w:pPr>
        <w:pStyle w:val="ac"/>
        <w:tabs>
          <w:tab w:val="left" w:pos="7513"/>
        </w:tabs>
        <w:spacing w:after="0"/>
        <w:ind w:right="-6"/>
        <w:jc w:val="right"/>
        <w:rPr>
          <w:b/>
          <w:sz w:val="28"/>
          <w:szCs w:val="28"/>
        </w:rPr>
      </w:pPr>
      <w:r w:rsidRPr="000C68C2">
        <w:rPr>
          <w:b/>
          <w:sz w:val="28"/>
          <w:szCs w:val="28"/>
        </w:rPr>
        <w:t>Санкт-Петербурга</w:t>
      </w:r>
      <w:r w:rsidRPr="000C68C2">
        <w:rPr>
          <w:b/>
          <w:sz w:val="28"/>
          <w:szCs w:val="28"/>
        </w:rPr>
        <w:tab/>
      </w:r>
      <w:r w:rsidR="001B1882">
        <w:rPr>
          <w:b/>
          <w:sz w:val="28"/>
          <w:szCs w:val="28"/>
        </w:rPr>
        <w:t xml:space="preserve">             </w:t>
      </w:r>
      <w:r w:rsidRPr="000C68C2">
        <w:rPr>
          <w:b/>
          <w:sz w:val="28"/>
          <w:szCs w:val="28"/>
        </w:rPr>
        <w:t>Е.И.Елин</w:t>
      </w:r>
    </w:p>
    <w:p w14:paraId="68EA7FAC" w14:textId="77777777" w:rsidR="00764069" w:rsidRPr="000C68C2" w:rsidRDefault="007640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0CB45" w14:textId="77777777" w:rsidR="000B673B" w:rsidRPr="000C68C2" w:rsidRDefault="000B673B" w:rsidP="007640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673B" w:rsidRPr="000C68C2" w:rsidSect="00C41823">
          <w:headerReference w:type="default" r:id="rId16"/>
          <w:headerReference w:type="first" r:id="rId17"/>
          <w:pgSz w:w="11906" w:h="16838"/>
          <w:pgMar w:top="1134" w:right="851" w:bottom="1134" w:left="1418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578" w:tblpY="2371"/>
        <w:tblW w:w="15304" w:type="dxa"/>
        <w:tblLayout w:type="fixed"/>
        <w:tblLook w:val="04A0" w:firstRow="1" w:lastRow="0" w:firstColumn="1" w:lastColumn="0" w:noHBand="0" w:noVBand="1"/>
      </w:tblPr>
      <w:tblGrid>
        <w:gridCol w:w="5240"/>
        <w:gridCol w:w="794"/>
        <w:gridCol w:w="794"/>
        <w:gridCol w:w="794"/>
        <w:gridCol w:w="878"/>
        <w:gridCol w:w="850"/>
        <w:gridCol w:w="851"/>
        <w:gridCol w:w="850"/>
        <w:gridCol w:w="851"/>
        <w:gridCol w:w="850"/>
        <w:gridCol w:w="851"/>
        <w:gridCol w:w="851"/>
        <w:gridCol w:w="850"/>
      </w:tblGrid>
      <w:tr w:rsidR="00D1387E" w:rsidRPr="00D1387E" w14:paraId="72DCE477" w14:textId="77777777" w:rsidTr="00AE3001">
        <w:trPr>
          <w:trHeight w:val="34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2CB1D" w14:textId="77777777" w:rsidR="00AE3001" w:rsidRPr="00D1387E" w:rsidRDefault="00AE3001" w:rsidP="00AE300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670873" w14:textId="54DD6696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E2733"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BC19CA" w14:textId="61C11420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E2733"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363785" w14:textId="6F21AF88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E2733"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</w:tcPr>
          <w:p w14:paraId="12FCBAB1" w14:textId="1813FBAB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E2733"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</w:tcPr>
          <w:p w14:paraId="0492D5D2" w14:textId="1601F204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E2733"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</w:tcPr>
          <w:p w14:paraId="102191A3" w14:textId="2D55DBF2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E2733" w:rsidRPr="004E27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1387E" w:rsidRPr="00D1387E" w14:paraId="78683D98" w14:textId="77777777" w:rsidTr="00AE3001">
        <w:trPr>
          <w:trHeight w:val="454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35A9A9" w14:textId="77777777" w:rsidR="00AE3001" w:rsidRPr="00D1387E" w:rsidRDefault="00AE3001" w:rsidP="00AE300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BA78C1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78570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870729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A71D6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Консерв.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DCC39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Базовый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4E708A5C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8DB97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Консерв.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D067A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Базовый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63E28E5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3CA55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Консерв.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60383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Базовый 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11A169E5" w14:textId="77777777" w:rsidR="00AE3001" w:rsidRPr="004E2733" w:rsidRDefault="00AE300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733"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вариант</w:t>
            </w:r>
          </w:p>
        </w:tc>
      </w:tr>
      <w:tr w:rsidR="006F4EDB" w:rsidRPr="00D1387E" w14:paraId="0814B513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F464" w14:textId="77777777" w:rsidR="006F4EDB" w:rsidRPr="004E2733" w:rsidRDefault="006F4EDB" w:rsidP="006F4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(среднегодовая), тыс. чел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1F8A0D" w14:textId="595CD702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5 367,90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FFF9E0" w14:textId="007AC5DC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5 391,00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21E875" w14:textId="416C40E9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5 399,76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FA16D" w14:textId="18AC57E7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5 402,23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40B307" w14:textId="07D7999B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5 408,83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10AFB" w14:textId="481AE542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F0731" w14:textId="2868FA0B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5 404,42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3ABA2" w14:textId="56019F28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C2E9B" w14:textId="19054DAB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5 438,30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24D876" w14:textId="2AF414CA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5 406,11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90ECC6" w14:textId="368DECBA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5 427,80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853D3" w14:textId="354D0BB7" w:rsidR="006F4EDB" w:rsidRPr="006F4EDB" w:rsidRDefault="006F4EDB" w:rsidP="006F4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4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5 454,13</w:t>
            </w:r>
          </w:p>
        </w:tc>
      </w:tr>
      <w:tr w:rsidR="00D1387E" w:rsidRPr="00D1387E" w14:paraId="77C44C67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147" w14:textId="77777777" w:rsidR="00AE3001" w:rsidRPr="004E2733" w:rsidRDefault="00AE3001" w:rsidP="00AE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Валовой региональный продукт, млрд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01CD2F" w14:textId="7207DF9F" w:rsidR="00AE3001" w:rsidRPr="00BD6251" w:rsidRDefault="006F4EDB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4193,5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296D5A" w14:textId="5A2A1602" w:rsidR="00AE3001" w:rsidRPr="00BD6251" w:rsidRDefault="006F4EDB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4488,5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54D11C" w14:textId="0768F04E" w:rsidR="00AE3001" w:rsidRPr="00BD6251" w:rsidRDefault="006F4EDB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4478,2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E720F2" w14:textId="642E0370" w:rsidR="00AE3001" w:rsidRPr="00BD6251" w:rsidRDefault="006F4EDB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4797,4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7D4D5" w14:textId="0B98717D" w:rsidR="00AE3001" w:rsidRPr="00BD6251" w:rsidRDefault="006F4EDB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4844,</w:t>
            </w:r>
            <w:r w:rsidR="00BD6251" w:rsidRPr="00BD62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CBEF4" w14:textId="4F65FED2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4852,1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966CBB" w14:textId="4BF58F79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5170,7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D636D3" w14:textId="11851D63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5235,2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1FDEA" w14:textId="3F5ED42F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5251,2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76DBDD" w14:textId="088E8B4A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5597,4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DD8FAC" w14:textId="4B10B191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5682,3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DD59A0" w14:textId="6EDA8A5B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5708,5</w:t>
            </w:r>
          </w:p>
        </w:tc>
      </w:tr>
      <w:tr w:rsidR="00BD6251" w:rsidRPr="00D1387E" w14:paraId="24EE72DF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003B" w14:textId="77777777" w:rsidR="00BD6251" w:rsidRPr="004E2733" w:rsidRDefault="00BD6251" w:rsidP="00BD6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валового регионального продукта,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79B82A" w14:textId="1F653ED3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B1034" w14:textId="3664729C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978C7" w14:textId="3FDF2A70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2B34A0" w14:textId="1A5B9302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8E98CB" w14:textId="5AB05FBB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88634" w14:textId="552B5E11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91464A" w14:textId="404D2F54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427713" w14:textId="44927CBB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EE6DA" w14:textId="07FAFBA5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AEF98" w14:textId="58EE55CD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D66F1C" w14:textId="284BE9C4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17DA9" w14:textId="4066811B" w:rsidR="00BD6251" w:rsidRPr="00BD6251" w:rsidRDefault="00BD6251" w:rsidP="00BD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103,78</w:t>
            </w:r>
          </w:p>
        </w:tc>
      </w:tr>
      <w:tr w:rsidR="00BD6251" w:rsidRPr="00BD6251" w14:paraId="5C7EC549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8A82" w14:textId="77777777" w:rsidR="00AE3001" w:rsidRPr="004E2733" w:rsidRDefault="00AE3001" w:rsidP="00AE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капитал, млрд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39197" w14:textId="2985969A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852,9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F52B12" w14:textId="296527E5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690,7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20385" w14:textId="5BCD3443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CDBEB7" w14:textId="727D1D99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712,6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1A4235" w14:textId="438703CC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722,8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AA8EB" w14:textId="35D591E7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737,1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DF2C04" w14:textId="048FECC0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784,1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A87DD4" w14:textId="6CA321D7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008D4" w14:textId="315BC843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F8C8D" w14:textId="763C2596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862,9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0FC767" w14:textId="6BDCEDF9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898,8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18D83" w14:textId="3BF1D06D" w:rsidR="00AE3001" w:rsidRPr="00BD6251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251">
              <w:rPr>
                <w:rFonts w:ascii="Times New Roman" w:hAnsi="Times New Roman" w:cs="Times New Roman"/>
                <w:sz w:val="20"/>
                <w:szCs w:val="20"/>
              </w:rPr>
              <w:t>958,9</w:t>
            </w:r>
          </w:p>
        </w:tc>
      </w:tr>
      <w:tr w:rsidR="00D1387E" w:rsidRPr="00D1387E" w14:paraId="2843B30E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748A" w14:textId="77777777" w:rsidR="00AE3001" w:rsidRPr="004E2733" w:rsidRDefault="00AE3001" w:rsidP="00AE3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Внешнеторговый оборот, млрд долл. США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7A7EA4" w14:textId="6CD43E58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92F5E" w14:textId="2817AAB9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B2888" w14:textId="308443EF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CE94CA" w14:textId="56885739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2EE9BE" w14:textId="6470BC81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9E820" w14:textId="2C998EE8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B061D" w14:textId="005F6EE6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86755B" w14:textId="2EE1E2A8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0F069" w14:textId="1B04F91A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3C981" w14:textId="36714A8A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64025" w14:textId="6656A33C" w:rsidR="00AE3001" w:rsidRPr="00A16677" w:rsidRDefault="00BD6251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77C98" w14:textId="00825C35" w:rsidR="00AE3001" w:rsidRPr="00A16677" w:rsidRDefault="00A16677" w:rsidP="00A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A16677" w:rsidRPr="00D1387E" w14:paraId="54233C65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DFC6" w14:textId="77777777" w:rsidR="00A16677" w:rsidRPr="004E2733" w:rsidRDefault="00A16677" w:rsidP="00A16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обрабатывающих производств, млрд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ED97E7" w14:textId="7F480DD3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E9651D" w14:textId="25CE5E98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8EE76" w14:textId="142D7295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11868" w14:textId="7E7C2887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522B11" w14:textId="394053F1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B0A7B" w14:textId="5CC99D1C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DE12AE" w14:textId="7BF574AA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FA31B" w14:textId="71B497E0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1336D" w14:textId="1C8624BB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EB6A9" w14:textId="236BE79B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257F9" w14:textId="4F105F34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5B87C" w14:textId="31FD75B4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</w:tr>
      <w:tr w:rsidR="00A16677" w:rsidRPr="00D1387E" w14:paraId="6F8FE24B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D63E" w14:textId="77777777" w:rsidR="00A16677" w:rsidRPr="004E2733" w:rsidRDefault="00A16677" w:rsidP="00A16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ИПП обрабатывающих производств,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B7E369" w14:textId="33C444DA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9C19A5" w14:textId="04DF11B8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90BB5C" w14:textId="25CCD715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70B241" w14:textId="1EB1DDCA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734EF0" w14:textId="295D9018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83988" w14:textId="5AC2E82D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B4096C" w14:textId="1DDDF766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DA471A" w14:textId="3B3E1814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6AC9A" w14:textId="09E11442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868F6" w14:textId="246AF7A3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F771D" w14:textId="555BB438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973E5" w14:textId="20423B76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106,40</w:t>
            </w:r>
          </w:p>
        </w:tc>
      </w:tr>
      <w:tr w:rsidR="00A16677" w:rsidRPr="00D1387E" w14:paraId="69EF2DDB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49BC" w14:textId="77777777" w:rsidR="00A16677" w:rsidRPr="004E2733" w:rsidRDefault="00A16677" w:rsidP="00A16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домов, тыс. кв. м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BEA01D" w14:textId="687B2240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16B41" w14:textId="56DDDA4C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4C53B0" w14:textId="180C88C7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34DD1" w14:textId="20082562" w:rsidR="00A16677" w:rsidRPr="00A16677" w:rsidRDefault="00A70104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D44B0" w14:textId="738EEB4D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0CDDC" w14:textId="4CE5ECD9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66340E" w14:textId="2BBC0EAF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7F3B3" w14:textId="21C20085" w:rsidR="00A16677" w:rsidRPr="00A16677" w:rsidRDefault="00A70104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CE22F" w14:textId="2A9AAE15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DFBD8" w14:textId="45414A54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701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632,</w:t>
            </w: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B34DFC" w14:textId="74CD5DD1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37F15" w14:textId="2426BE46" w:rsidR="00A16677" w:rsidRPr="00A16677" w:rsidRDefault="00A16677" w:rsidP="00A70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701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771,4</w:t>
            </w:r>
          </w:p>
        </w:tc>
      </w:tr>
      <w:tr w:rsidR="00A16677" w:rsidRPr="00D1387E" w14:paraId="5D73A76B" w14:textId="77777777" w:rsidTr="00266C86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139C" w14:textId="77777777" w:rsidR="00A16677" w:rsidRPr="004E2733" w:rsidRDefault="00A16677" w:rsidP="00A16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Объем работ, выполненных по виду экономической деятельности «Строительство», млрд руб.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60147A" w14:textId="5133EBB8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E46C4" w14:textId="3C1FA73A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ED9AC2" w14:textId="6E2C94DF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56B7E0" w14:textId="70D4D718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D8FD70" w14:textId="2E58E284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FB5A3" w14:textId="242EE995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8031C" w14:textId="08B6CB4D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4C1B4C" w14:textId="697E58C3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FE915" w14:textId="67327213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DA67F" w14:textId="69898BC0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8FDC6" w14:textId="6DF3C67A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C7224" w14:textId="0BF567EB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CF732B" w:rsidRPr="00D1387E" w14:paraId="23E58FBD" w14:textId="77777777" w:rsidTr="00AE3001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3A1" w14:textId="77777777" w:rsidR="00CF732B" w:rsidRPr="004E2733" w:rsidRDefault="00CF732B" w:rsidP="00CF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 за период с начала года, %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E6693" w14:textId="1930BF3D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21DC24" w14:textId="74391D0A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06F02D" w14:textId="250A45CD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38B070" w14:textId="1366CA98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D57F9C" w14:textId="1375A261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D475E" w14:textId="7BBD69BA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F7D27B" w14:textId="60E3BFE2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527527" w14:textId="23B6EF40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5230C" w14:textId="2BA5967E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FE60F2" w14:textId="1973361E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D9F8BC" w14:textId="51EEA67C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80F74" w14:textId="02517A4F" w:rsidR="00CF732B" w:rsidRPr="00CF732B" w:rsidRDefault="00CF732B" w:rsidP="00CF7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103,87</w:t>
            </w:r>
          </w:p>
        </w:tc>
      </w:tr>
      <w:tr w:rsidR="00A16677" w:rsidRPr="00D1387E" w14:paraId="10D69D7F" w14:textId="77777777" w:rsidTr="00AE3001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FAC9" w14:textId="77777777" w:rsidR="00A16677" w:rsidRPr="004E2733" w:rsidRDefault="00A16677" w:rsidP="00A16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Реальные денежные доходы населения,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CC28A" w14:textId="54612779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F019F4" w14:textId="24BAEF83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2055D1" w14:textId="6FA46351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892B44" w14:textId="0CA4F213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4D7864" w14:textId="016A50C4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06002" w14:textId="02E91046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3FFD3D" w14:textId="2E640C21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E2DA73" w14:textId="4EDEC7D7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3424C" w14:textId="081136EE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733340" w14:textId="7C4B6ADE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820FB2" w14:textId="324799A2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0D34B" w14:textId="74A4BA98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104,15</w:t>
            </w:r>
          </w:p>
        </w:tc>
      </w:tr>
      <w:tr w:rsidR="00A16677" w:rsidRPr="00D1387E" w14:paraId="203E2E39" w14:textId="77777777" w:rsidTr="00AE3001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BBEC" w14:textId="77777777" w:rsidR="00A16677" w:rsidRPr="004E2733" w:rsidRDefault="00A16677" w:rsidP="00A16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33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8A1BB5" w14:textId="02837EB5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55D9D5" w14:textId="577654C0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926338" w14:textId="10C0F821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F546F0" w14:textId="2CC2C4B6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AF5F18" w14:textId="39D244C2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009F1" w14:textId="53F76B83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1D73" w14:textId="67C31CDC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786F69" w14:textId="793EDE5D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6F68C" w14:textId="7FA1EE1E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D25CF" w14:textId="43EBD52C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064F2" w14:textId="44CDC772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D5D39" w14:textId="7FAAF928" w:rsidR="00A16677" w:rsidRPr="00A16677" w:rsidRDefault="00A16677" w:rsidP="00A166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</w:tr>
    </w:tbl>
    <w:p w14:paraId="0C80045F" w14:textId="2070A7CD" w:rsidR="008060BC" w:rsidRPr="000C68C2" w:rsidRDefault="00F2611A" w:rsidP="00AE3001">
      <w:pPr>
        <w:pStyle w:val="ac"/>
        <w:widowControl w:val="0"/>
        <w:tabs>
          <w:tab w:val="center" w:pos="7161"/>
          <w:tab w:val="right" w:pos="14323"/>
        </w:tabs>
        <w:spacing w:after="0"/>
        <w:ind w:right="-6"/>
        <w:jc w:val="center"/>
        <w:rPr>
          <w:sz w:val="28"/>
          <w:szCs w:val="28"/>
        </w:rPr>
      </w:pPr>
      <w:r w:rsidRPr="000C68C2">
        <w:rPr>
          <w:sz w:val="28"/>
          <w:szCs w:val="28"/>
        </w:rPr>
        <w:t>Основные показатели прогноза социально-экономического развития</w:t>
      </w:r>
      <w:r w:rsidRPr="000C68C2">
        <w:rPr>
          <w:sz w:val="28"/>
          <w:szCs w:val="28"/>
        </w:rPr>
        <w:br/>
        <w:t>Санкт-Петербурга на 20</w:t>
      </w:r>
      <w:r w:rsidR="00780A64" w:rsidRPr="000C68C2">
        <w:rPr>
          <w:sz w:val="28"/>
          <w:szCs w:val="28"/>
        </w:rPr>
        <w:t>2</w:t>
      </w:r>
      <w:r w:rsidR="00D1387E">
        <w:rPr>
          <w:sz w:val="28"/>
          <w:szCs w:val="28"/>
        </w:rPr>
        <w:t>1</w:t>
      </w:r>
      <w:r w:rsidRPr="000C68C2">
        <w:rPr>
          <w:sz w:val="28"/>
          <w:szCs w:val="28"/>
        </w:rPr>
        <w:t xml:space="preserve"> год и плановый период 202</w:t>
      </w:r>
      <w:r w:rsidR="00D1387E">
        <w:rPr>
          <w:sz w:val="28"/>
          <w:szCs w:val="28"/>
        </w:rPr>
        <w:t>2</w:t>
      </w:r>
      <w:r w:rsidRPr="000C68C2">
        <w:rPr>
          <w:sz w:val="28"/>
          <w:szCs w:val="28"/>
        </w:rPr>
        <w:t xml:space="preserve"> и 20</w:t>
      </w:r>
      <w:r w:rsidR="00D1387E">
        <w:rPr>
          <w:sz w:val="28"/>
          <w:szCs w:val="28"/>
        </w:rPr>
        <w:t>23</w:t>
      </w:r>
      <w:r w:rsidRPr="000C68C2">
        <w:rPr>
          <w:sz w:val="28"/>
          <w:szCs w:val="28"/>
        </w:rPr>
        <w:t xml:space="preserve"> годов</w:t>
      </w:r>
    </w:p>
    <w:sectPr w:rsidR="008060BC" w:rsidRPr="000C68C2" w:rsidSect="004E3857">
      <w:pgSz w:w="16838" w:h="11906" w:orient="landscape"/>
      <w:pgMar w:top="851" w:right="962" w:bottom="851" w:left="1559" w:header="81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828BE" w14:textId="77777777" w:rsidR="002C2CDC" w:rsidRDefault="002C2CDC" w:rsidP="00B71CE6">
      <w:pPr>
        <w:spacing w:after="0" w:line="240" w:lineRule="auto"/>
      </w:pPr>
      <w:r>
        <w:separator/>
      </w:r>
    </w:p>
  </w:endnote>
  <w:endnote w:type="continuationSeparator" w:id="0">
    <w:p w14:paraId="7C789A32" w14:textId="77777777" w:rsidR="002C2CDC" w:rsidRDefault="002C2CDC" w:rsidP="00B7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64A24" w14:textId="77777777" w:rsidR="002C2CDC" w:rsidRDefault="002C2CDC" w:rsidP="00B71CE6">
      <w:pPr>
        <w:spacing w:after="0" w:line="240" w:lineRule="auto"/>
      </w:pPr>
      <w:r>
        <w:separator/>
      </w:r>
    </w:p>
  </w:footnote>
  <w:footnote w:type="continuationSeparator" w:id="0">
    <w:p w14:paraId="0BF6074F" w14:textId="77777777" w:rsidR="002C2CDC" w:rsidRDefault="002C2CDC" w:rsidP="00B7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1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CCD118" w14:textId="080161AC" w:rsidR="004E6C10" w:rsidRPr="005E7921" w:rsidRDefault="004E6C10">
        <w:pPr>
          <w:pStyle w:val="ae"/>
          <w:jc w:val="center"/>
          <w:rPr>
            <w:rFonts w:ascii="Times New Roman" w:hAnsi="Times New Roman" w:cs="Times New Roman"/>
          </w:rPr>
        </w:pPr>
        <w:r w:rsidRPr="005E7921">
          <w:rPr>
            <w:rFonts w:ascii="Times New Roman" w:hAnsi="Times New Roman" w:cs="Times New Roman"/>
          </w:rPr>
          <w:fldChar w:fldCharType="begin"/>
        </w:r>
        <w:r w:rsidRPr="005E7921">
          <w:rPr>
            <w:rFonts w:ascii="Times New Roman" w:hAnsi="Times New Roman" w:cs="Times New Roman"/>
          </w:rPr>
          <w:instrText>PAGE   \* MERGEFORMAT</w:instrText>
        </w:r>
        <w:r w:rsidRPr="005E7921">
          <w:rPr>
            <w:rFonts w:ascii="Times New Roman" w:hAnsi="Times New Roman" w:cs="Times New Roman"/>
          </w:rPr>
          <w:fldChar w:fldCharType="separate"/>
        </w:r>
        <w:r w:rsidR="000F791F">
          <w:rPr>
            <w:rFonts w:ascii="Times New Roman" w:hAnsi="Times New Roman" w:cs="Times New Roman"/>
            <w:noProof/>
          </w:rPr>
          <w:t>2</w:t>
        </w:r>
        <w:r w:rsidRPr="005E792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C9DD" w14:textId="77777777" w:rsidR="004E6C10" w:rsidRDefault="004E6C10" w:rsidP="00DC70F5">
    <w:pPr>
      <w:pStyle w:val="ac"/>
      <w:tabs>
        <w:tab w:val="center" w:pos="7161"/>
        <w:tab w:val="right" w:pos="14323"/>
      </w:tabs>
      <w:spacing w:after="0"/>
      <w:ind w:right="-6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6DB6"/>
    <w:multiLevelType w:val="hybridMultilevel"/>
    <w:tmpl w:val="10943D1E"/>
    <w:lvl w:ilvl="0" w:tplc="5F8AB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724F43"/>
    <w:multiLevelType w:val="hybridMultilevel"/>
    <w:tmpl w:val="E45C2982"/>
    <w:lvl w:ilvl="0" w:tplc="D6F29F3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6213D6"/>
    <w:multiLevelType w:val="hybridMultilevel"/>
    <w:tmpl w:val="486CC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D12F20"/>
    <w:multiLevelType w:val="hybridMultilevel"/>
    <w:tmpl w:val="39C23756"/>
    <w:lvl w:ilvl="0" w:tplc="7D8E19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460C3"/>
    <w:multiLevelType w:val="hybridMultilevel"/>
    <w:tmpl w:val="A4721C02"/>
    <w:lvl w:ilvl="0" w:tplc="7D8E19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CF2C8E"/>
    <w:multiLevelType w:val="hybridMultilevel"/>
    <w:tmpl w:val="B4C680C2"/>
    <w:lvl w:ilvl="0" w:tplc="AB00A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D4D57"/>
    <w:multiLevelType w:val="hybridMultilevel"/>
    <w:tmpl w:val="D0A256E0"/>
    <w:lvl w:ilvl="0" w:tplc="2AF41FEC">
      <w:start w:val="1"/>
      <w:numFmt w:val="bullet"/>
      <w:lvlText w:val="−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74F116C"/>
    <w:multiLevelType w:val="hybridMultilevel"/>
    <w:tmpl w:val="1DFCBA4A"/>
    <w:lvl w:ilvl="0" w:tplc="7D8E19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9253E2"/>
    <w:multiLevelType w:val="hybridMultilevel"/>
    <w:tmpl w:val="A15AA12E"/>
    <w:lvl w:ilvl="0" w:tplc="7D8E19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E6"/>
    <w:rsid w:val="000038DD"/>
    <w:rsid w:val="00003E0D"/>
    <w:rsid w:val="00006D2D"/>
    <w:rsid w:val="000151FE"/>
    <w:rsid w:val="00021BBC"/>
    <w:rsid w:val="000238F7"/>
    <w:rsid w:val="0002509E"/>
    <w:rsid w:val="00036A0F"/>
    <w:rsid w:val="00037B5C"/>
    <w:rsid w:val="000422C6"/>
    <w:rsid w:val="000452CC"/>
    <w:rsid w:val="0004609F"/>
    <w:rsid w:val="0005113F"/>
    <w:rsid w:val="000520B3"/>
    <w:rsid w:val="00055C76"/>
    <w:rsid w:val="000642A8"/>
    <w:rsid w:val="00066685"/>
    <w:rsid w:val="00067142"/>
    <w:rsid w:val="000740F7"/>
    <w:rsid w:val="00074502"/>
    <w:rsid w:val="0008513B"/>
    <w:rsid w:val="00094318"/>
    <w:rsid w:val="000A502C"/>
    <w:rsid w:val="000A5280"/>
    <w:rsid w:val="000B2033"/>
    <w:rsid w:val="000B3E1B"/>
    <w:rsid w:val="000B458F"/>
    <w:rsid w:val="000B673B"/>
    <w:rsid w:val="000B6F1F"/>
    <w:rsid w:val="000B7443"/>
    <w:rsid w:val="000C68C2"/>
    <w:rsid w:val="000D0B5B"/>
    <w:rsid w:val="000D4080"/>
    <w:rsid w:val="000D7CF1"/>
    <w:rsid w:val="000E00DE"/>
    <w:rsid w:val="000E1236"/>
    <w:rsid w:val="000E1409"/>
    <w:rsid w:val="000E63A3"/>
    <w:rsid w:val="000E6974"/>
    <w:rsid w:val="000E6A9B"/>
    <w:rsid w:val="000F2973"/>
    <w:rsid w:val="000F791F"/>
    <w:rsid w:val="00111764"/>
    <w:rsid w:val="00115ACF"/>
    <w:rsid w:val="00116315"/>
    <w:rsid w:val="001168B5"/>
    <w:rsid w:val="0012011E"/>
    <w:rsid w:val="00120F04"/>
    <w:rsid w:val="0012368E"/>
    <w:rsid w:val="00126DD1"/>
    <w:rsid w:val="00140C1A"/>
    <w:rsid w:val="00142EF6"/>
    <w:rsid w:val="00145247"/>
    <w:rsid w:val="00146DA1"/>
    <w:rsid w:val="00153189"/>
    <w:rsid w:val="001555FB"/>
    <w:rsid w:val="00156854"/>
    <w:rsid w:val="001641A2"/>
    <w:rsid w:val="001657FF"/>
    <w:rsid w:val="00176D6A"/>
    <w:rsid w:val="00182F76"/>
    <w:rsid w:val="00184CB1"/>
    <w:rsid w:val="00197846"/>
    <w:rsid w:val="001A26B2"/>
    <w:rsid w:val="001A4BA3"/>
    <w:rsid w:val="001B1882"/>
    <w:rsid w:val="001B6049"/>
    <w:rsid w:val="001B72F2"/>
    <w:rsid w:val="001C272D"/>
    <w:rsid w:val="001C3760"/>
    <w:rsid w:val="001C3F79"/>
    <w:rsid w:val="001D201A"/>
    <w:rsid w:val="001D4166"/>
    <w:rsid w:val="001D5E67"/>
    <w:rsid w:val="001D6C3F"/>
    <w:rsid w:val="001E3D96"/>
    <w:rsid w:val="00201828"/>
    <w:rsid w:val="002035B6"/>
    <w:rsid w:val="00210341"/>
    <w:rsid w:val="00212C9F"/>
    <w:rsid w:val="00221FB4"/>
    <w:rsid w:val="00222B9D"/>
    <w:rsid w:val="00224561"/>
    <w:rsid w:val="0022462F"/>
    <w:rsid w:val="002263A0"/>
    <w:rsid w:val="00226E88"/>
    <w:rsid w:val="00227A88"/>
    <w:rsid w:val="002312A0"/>
    <w:rsid w:val="00251D9D"/>
    <w:rsid w:val="00253A03"/>
    <w:rsid w:val="00255793"/>
    <w:rsid w:val="002566DE"/>
    <w:rsid w:val="0026085B"/>
    <w:rsid w:val="00264396"/>
    <w:rsid w:val="002662C1"/>
    <w:rsid w:val="00266C86"/>
    <w:rsid w:val="002700FE"/>
    <w:rsid w:val="00282339"/>
    <w:rsid w:val="00284955"/>
    <w:rsid w:val="00285A34"/>
    <w:rsid w:val="00291261"/>
    <w:rsid w:val="00295D54"/>
    <w:rsid w:val="002A6659"/>
    <w:rsid w:val="002B4987"/>
    <w:rsid w:val="002C270C"/>
    <w:rsid w:val="002C2CDC"/>
    <w:rsid w:val="002C68BF"/>
    <w:rsid w:val="002C7C0E"/>
    <w:rsid w:val="002D026E"/>
    <w:rsid w:val="002D796C"/>
    <w:rsid w:val="002F0C90"/>
    <w:rsid w:val="002F3A31"/>
    <w:rsid w:val="00305207"/>
    <w:rsid w:val="00305E01"/>
    <w:rsid w:val="00311A32"/>
    <w:rsid w:val="00314E8E"/>
    <w:rsid w:val="003230F8"/>
    <w:rsid w:val="003237E3"/>
    <w:rsid w:val="00323ABB"/>
    <w:rsid w:val="00327E94"/>
    <w:rsid w:val="0033550F"/>
    <w:rsid w:val="0033565C"/>
    <w:rsid w:val="0033756D"/>
    <w:rsid w:val="003435EF"/>
    <w:rsid w:val="00354318"/>
    <w:rsid w:val="00357854"/>
    <w:rsid w:val="00357C04"/>
    <w:rsid w:val="00363A8C"/>
    <w:rsid w:val="003664EA"/>
    <w:rsid w:val="00372CC1"/>
    <w:rsid w:val="00373CB0"/>
    <w:rsid w:val="003759DE"/>
    <w:rsid w:val="00377A94"/>
    <w:rsid w:val="00384D08"/>
    <w:rsid w:val="003852A0"/>
    <w:rsid w:val="00393066"/>
    <w:rsid w:val="003950CB"/>
    <w:rsid w:val="00396527"/>
    <w:rsid w:val="003A2E86"/>
    <w:rsid w:val="003A40E7"/>
    <w:rsid w:val="003C1403"/>
    <w:rsid w:val="003C2A7D"/>
    <w:rsid w:val="003C53FF"/>
    <w:rsid w:val="003D0EF3"/>
    <w:rsid w:val="003E36FB"/>
    <w:rsid w:val="003E48EA"/>
    <w:rsid w:val="003E4C50"/>
    <w:rsid w:val="003F010E"/>
    <w:rsid w:val="003F0689"/>
    <w:rsid w:val="003F1DE2"/>
    <w:rsid w:val="003F4D37"/>
    <w:rsid w:val="003F6A9A"/>
    <w:rsid w:val="00402123"/>
    <w:rsid w:val="00405648"/>
    <w:rsid w:val="00405DAC"/>
    <w:rsid w:val="00407237"/>
    <w:rsid w:val="00411121"/>
    <w:rsid w:val="00416506"/>
    <w:rsid w:val="004204FA"/>
    <w:rsid w:val="00421894"/>
    <w:rsid w:val="00425226"/>
    <w:rsid w:val="0042631E"/>
    <w:rsid w:val="00432FD6"/>
    <w:rsid w:val="0043327F"/>
    <w:rsid w:val="00434592"/>
    <w:rsid w:val="00437D84"/>
    <w:rsid w:val="00441E13"/>
    <w:rsid w:val="004436D7"/>
    <w:rsid w:val="004506DA"/>
    <w:rsid w:val="0045262B"/>
    <w:rsid w:val="00454044"/>
    <w:rsid w:val="00456881"/>
    <w:rsid w:val="00462886"/>
    <w:rsid w:val="00463693"/>
    <w:rsid w:val="00463D95"/>
    <w:rsid w:val="004649DC"/>
    <w:rsid w:val="00465B1D"/>
    <w:rsid w:val="0046693D"/>
    <w:rsid w:val="004672E1"/>
    <w:rsid w:val="004827C0"/>
    <w:rsid w:val="004916C5"/>
    <w:rsid w:val="004A1544"/>
    <w:rsid w:val="004A45E9"/>
    <w:rsid w:val="004B14BF"/>
    <w:rsid w:val="004B34D1"/>
    <w:rsid w:val="004C0A64"/>
    <w:rsid w:val="004C1734"/>
    <w:rsid w:val="004C43D9"/>
    <w:rsid w:val="004C75D2"/>
    <w:rsid w:val="004D18A9"/>
    <w:rsid w:val="004D1CC3"/>
    <w:rsid w:val="004D7726"/>
    <w:rsid w:val="004E2733"/>
    <w:rsid w:val="004E304B"/>
    <w:rsid w:val="004E3857"/>
    <w:rsid w:val="004E6781"/>
    <w:rsid w:val="004E6C10"/>
    <w:rsid w:val="005012B8"/>
    <w:rsid w:val="00502114"/>
    <w:rsid w:val="00503388"/>
    <w:rsid w:val="00504E3E"/>
    <w:rsid w:val="005065BE"/>
    <w:rsid w:val="005114D8"/>
    <w:rsid w:val="005155F5"/>
    <w:rsid w:val="005161B4"/>
    <w:rsid w:val="005204CA"/>
    <w:rsid w:val="00522FE1"/>
    <w:rsid w:val="00526098"/>
    <w:rsid w:val="00531776"/>
    <w:rsid w:val="00531BA3"/>
    <w:rsid w:val="005326B9"/>
    <w:rsid w:val="00533B7A"/>
    <w:rsid w:val="0053533C"/>
    <w:rsid w:val="00541D97"/>
    <w:rsid w:val="00541E7B"/>
    <w:rsid w:val="005432EE"/>
    <w:rsid w:val="00544E45"/>
    <w:rsid w:val="00545101"/>
    <w:rsid w:val="005539AE"/>
    <w:rsid w:val="00553C69"/>
    <w:rsid w:val="00554812"/>
    <w:rsid w:val="00554D5F"/>
    <w:rsid w:val="005560F8"/>
    <w:rsid w:val="00560336"/>
    <w:rsid w:val="00561623"/>
    <w:rsid w:val="00564371"/>
    <w:rsid w:val="00566470"/>
    <w:rsid w:val="005712F3"/>
    <w:rsid w:val="00571B12"/>
    <w:rsid w:val="00571FAA"/>
    <w:rsid w:val="00583930"/>
    <w:rsid w:val="00590461"/>
    <w:rsid w:val="00592C93"/>
    <w:rsid w:val="00592F18"/>
    <w:rsid w:val="005950F8"/>
    <w:rsid w:val="005A23B8"/>
    <w:rsid w:val="005A3A1A"/>
    <w:rsid w:val="005A3C5E"/>
    <w:rsid w:val="005A7BC1"/>
    <w:rsid w:val="005B14C3"/>
    <w:rsid w:val="005B18AE"/>
    <w:rsid w:val="005B35BF"/>
    <w:rsid w:val="005B3F8E"/>
    <w:rsid w:val="005B4FEE"/>
    <w:rsid w:val="005B77DE"/>
    <w:rsid w:val="005D0EC2"/>
    <w:rsid w:val="005D14A1"/>
    <w:rsid w:val="005D273A"/>
    <w:rsid w:val="005D57A3"/>
    <w:rsid w:val="005D6C14"/>
    <w:rsid w:val="005D79A9"/>
    <w:rsid w:val="005E0FA0"/>
    <w:rsid w:val="005E1FB7"/>
    <w:rsid w:val="005E7921"/>
    <w:rsid w:val="005F3418"/>
    <w:rsid w:val="005F4FBE"/>
    <w:rsid w:val="005F63DE"/>
    <w:rsid w:val="005F6F7D"/>
    <w:rsid w:val="006130B1"/>
    <w:rsid w:val="006130DE"/>
    <w:rsid w:val="00613C3F"/>
    <w:rsid w:val="00616B0B"/>
    <w:rsid w:val="0062262D"/>
    <w:rsid w:val="0062607F"/>
    <w:rsid w:val="0063182C"/>
    <w:rsid w:val="0063329F"/>
    <w:rsid w:val="00635E42"/>
    <w:rsid w:val="00636981"/>
    <w:rsid w:val="00641BCD"/>
    <w:rsid w:val="006423B3"/>
    <w:rsid w:val="00650263"/>
    <w:rsid w:val="006526D5"/>
    <w:rsid w:val="00654167"/>
    <w:rsid w:val="006553C7"/>
    <w:rsid w:val="00660361"/>
    <w:rsid w:val="006615B9"/>
    <w:rsid w:val="00664E60"/>
    <w:rsid w:val="0066555D"/>
    <w:rsid w:val="00671550"/>
    <w:rsid w:val="00673815"/>
    <w:rsid w:val="00674DA7"/>
    <w:rsid w:val="00674FAE"/>
    <w:rsid w:val="006751DB"/>
    <w:rsid w:val="00676464"/>
    <w:rsid w:val="006811CC"/>
    <w:rsid w:val="006958C7"/>
    <w:rsid w:val="006A0898"/>
    <w:rsid w:val="006A61A9"/>
    <w:rsid w:val="006A6C42"/>
    <w:rsid w:val="006B1528"/>
    <w:rsid w:val="006B6D45"/>
    <w:rsid w:val="006C0FD4"/>
    <w:rsid w:val="006C1354"/>
    <w:rsid w:val="006C352F"/>
    <w:rsid w:val="006C3B04"/>
    <w:rsid w:val="006C685F"/>
    <w:rsid w:val="006D259A"/>
    <w:rsid w:val="006D353C"/>
    <w:rsid w:val="006E2B19"/>
    <w:rsid w:val="006E3954"/>
    <w:rsid w:val="006F0D7C"/>
    <w:rsid w:val="006F4EDB"/>
    <w:rsid w:val="006F5F39"/>
    <w:rsid w:val="00703090"/>
    <w:rsid w:val="00703DD3"/>
    <w:rsid w:val="007061ED"/>
    <w:rsid w:val="00710654"/>
    <w:rsid w:val="007119B4"/>
    <w:rsid w:val="00713806"/>
    <w:rsid w:val="00715217"/>
    <w:rsid w:val="00721602"/>
    <w:rsid w:val="00726817"/>
    <w:rsid w:val="007327F9"/>
    <w:rsid w:val="00733C98"/>
    <w:rsid w:val="007340A2"/>
    <w:rsid w:val="007376D5"/>
    <w:rsid w:val="00756E6E"/>
    <w:rsid w:val="00764069"/>
    <w:rsid w:val="00764CD8"/>
    <w:rsid w:val="00772C61"/>
    <w:rsid w:val="00780A64"/>
    <w:rsid w:val="007817BD"/>
    <w:rsid w:val="00782805"/>
    <w:rsid w:val="00782A78"/>
    <w:rsid w:val="00783AFF"/>
    <w:rsid w:val="00784132"/>
    <w:rsid w:val="00785CF3"/>
    <w:rsid w:val="00787FB2"/>
    <w:rsid w:val="007A2213"/>
    <w:rsid w:val="007C1ABE"/>
    <w:rsid w:val="007D1780"/>
    <w:rsid w:val="007D5F64"/>
    <w:rsid w:val="007E13A5"/>
    <w:rsid w:val="007E3DD0"/>
    <w:rsid w:val="007F0850"/>
    <w:rsid w:val="007F0CE4"/>
    <w:rsid w:val="007F3C63"/>
    <w:rsid w:val="007F4160"/>
    <w:rsid w:val="007F41CA"/>
    <w:rsid w:val="008011BC"/>
    <w:rsid w:val="00804375"/>
    <w:rsid w:val="00804740"/>
    <w:rsid w:val="008060BC"/>
    <w:rsid w:val="00810F26"/>
    <w:rsid w:val="0081288B"/>
    <w:rsid w:val="00816501"/>
    <w:rsid w:val="00826091"/>
    <w:rsid w:val="008346E8"/>
    <w:rsid w:val="00843DE0"/>
    <w:rsid w:val="00846222"/>
    <w:rsid w:val="00846416"/>
    <w:rsid w:val="008528EA"/>
    <w:rsid w:val="00855FE9"/>
    <w:rsid w:val="008639E7"/>
    <w:rsid w:val="008674FB"/>
    <w:rsid w:val="008740CE"/>
    <w:rsid w:val="008819CD"/>
    <w:rsid w:val="00885F36"/>
    <w:rsid w:val="008924BC"/>
    <w:rsid w:val="008945B6"/>
    <w:rsid w:val="00895540"/>
    <w:rsid w:val="00895BD3"/>
    <w:rsid w:val="008A57C6"/>
    <w:rsid w:val="008B328D"/>
    <w:rsid w:val="008B54F9"/>
    <w:rsid w:val="008B6552"/>
    <w:rsid w:val="008C1128"/>
    <w:rsid w:val="008C642B"/>
    <w:rsid w:val="008D18DD"/>
    <w:rsid w:val="008D25F5"/>
    <w:rsid w:val="008D53DE"/>
    <w:rsid w:val="008E41E2"/>
    <w:rsid w:val="008E4B37"/>
    <w:rsid w:val="008F2ADC"/>
    <w:rsid w:val="00905CC5"/>
    <w:rsid w:val="0090774A"/>
    <w:rsid w:val="00910CDE"/>
    <w:rsid w:val="00914651"/>
    <w:rsid w:val="0091696D"/>
    <w:rsid w:val="009224DC"/>
    <w:rsid w:val="009239E2"/>
    <w:rsid w:val="00924AAE"/>
    <w:rsid w:val="009343E2"/>
    <w:rsid w:val="00941AAF"/>
    <w:rsid w:val="00943839"/>
    <w:rsid w:val="00947ECF"/>
    <w:rsid w:val="0095185E"/>
    <w:rsid w:val="00961175"/>
    <w:rsid w:val="009637ED"/>
    <w:rsid w:val="00963F84"/>
    <w:rsid w:val="00966FCE"/>
    <w:rsid w:val="0096765E"/>
    <w:rsid w:val="00971635"/>
    <w:rsid w:val="00974E95"/>
    <w:rsid w:val="00981508"/>
    <w:rsid w:val="00982B5F"/>
    <w:rsid w:val="00983BD8"/>
    <w:rsid w:val="009923C6"/>
    <w:rsid w:val="0099682E"/>
    <w:rsid w:val="009A0F15"/>
    <w:rsid w:val="009B4362"/>
    <w:rsid w:val="009C1A52"/>
    <w:rsid w:val="009C2D9F"/>
    <w:rsid w:val="009C49C0"/>
    <w:rsid w:val="009C7F06"/>
    <w:rsid w:val="009D3431"/>
    <w:rsid w:val="009D53E3"/>
    <w:rsid w:val="009D6B7D"/>
    <w:rsid w:val="009E2F7B"/>
    <w:rsid w:val="009E31D6"/>
    <w:rsid w:val="009E3D33"/>
    <w:rsid w:val="009E47F8"/>
    <w:rsid w:val="009E6FAF"/>
    <w:rsid w:val="009E7EDE"/>
    <w:rsid w:val="00A03029"/>
    <w:rsid w:val="00A1662F"/>
    <w:rsid w:val="00A16677"/>
    <w:rsid w:val="00A16A0A"/>
    <w:rsid w:val="00A17C39"/>
    <w:rsid w:val="00A2251E"/>
    <w:rsid w:val="00A22EA3"/>
    <w:rsid w:val="00A23754"/>
    <w:rsid w:val="00A25481"/>
    <w:rsid w:val="00A26D57"/>
    <w:rsid w:val="00A2799B"/>
    <w:rsid w:val="00A3030B"/>
    <w:rsid w:val="00A322A3"/>
    <w:rsid w:val="00A32382"/>
    <w:rsid w:val="00A3743F"/>
    <w:rsid w:val="00A4043F"/>
    <w:rsid w:val="00A426F1"/>
    <w:rsid w:val="00A51C76"/>
    <w:rsid w:val="00A52EF5"/>
    <w:rsid w:val="00A560B7"/>
    <w:rsid w:val="00A56876"/>
    <w:rsid w:val="00A5760A"/>
    <w:rsid w:val="00A63DC9"/>
    <w:rsid w:val="00A64126"/>
    <w:rsid w:val="00A70104"/>
    <w:rsid w:val="00A740A1"/>
    <w:rsid w:val="00A7652F"/>
    <w:rsid w:val="00A80642"/>
    <w:rsid w:val="00A94F87"/>
    <w:rsid w:val="00A95093"/>
    <w:rsid w:val="00A97FBC"/>
    <w:rsid w:val="00AA0FA8"/>
    <w:rsid w:val="00AA30A2"/>
    <w:rsid w:val="00AC67A4"/>
    <w:rsid w:val="00AD338F"/>
    <w:rsid w:val="00AD5B2F"/>
    <w:rsid w:val="00AD5E7A"/>
    <w:rsid w:val="00AE1D99"/>
    <w:rsid w:val="00AE2E5E"/>
    <w:rsid w:val="00AE3001"/>
    <w:rsid w:val="00AE4257"/>
    <w:rsid w:val="00AE6139"/>
    <w:rsid w:val="00AF7923"/>
    <w:rsid w:val="00B01ACA"/>
    <w:rsid w:val="00B11B4F"/>
    <w:rsid w:val="00B153C8"/>
    <w:rsid w:val="00B23AE7"/>
    <w:rsid w:val="00B320D7"/>
    <w:rsid w:val="00B36DBF"/>
    <w:rsid w:val="00B43BB9"/>
    <w:rsid w:val="00B45C52"/>
    <w:rsid w:val="00B569A6"/>
    <w:rsid w:val="00B63F2E"/>
    <w:rsid w:val="00B71CE6"/>
    <w:rsid w:val="00B75444"/>
    <w:rsid w:val="00B875C5"/>
    <w:rsid w:val="00B900D0"/>
    <w:rsid w:val="00B921D6"/>
    <w:rsid w:val="00B92F98"/>
    <w:rsid w:val="00B9697F"/>
    <w:rsid w:val="00B969D7"/>
    <w:rsid w:val="00BA0610"/>
    <w:rsid w:val="00BA20CF"/>
    <w:rsid w:val="00BA510B"/>
    <w:rsid w:val="00BB14F2"/>
    <w:rsid w:val="00BB3A8D"/>
    <w:rsid w:val="00BB4CDF"/>
    <w:rsid w:val="00BB5750"/>
    <w:rsid w:val="00BC3890"/>
    <w:rsid w:val="00BC6E1A"/>
    <w:rsid w:val="00BD2630"/>
    <w:rsid w:val="00BD2E72"/>
    <w:rsid w:val="00BD4160"/>
    <w:rsid w:val="00BD6251"/>
    <w:rsid w:val="00BE165E"/>
    <w:rsid w:val="00BF1828"/>
    <w:rsid w:val="00BF520D"/>
    <w:rsid w:val="00BF54C5"/>
    <w:rsid w:val="00BF65C7"/>
    <w:rsid w:val="00C045C9"/>
    <w:rsid w:val="00C05C16"/>
    <w:rsid w:val="00C06EDC"/>
    <w:rsid w:val="00C23409"/>
    <w:rsid w:val="00C23BF1"/>
    <w:rsid w:val="00C334CD"/>
    <w:rsid w:val="00C3421B"/>
    <w:rsid w:val="00C372B3"/>
    <w:rsid w:val="00C37857"/>
    <w:rsid w:val="00C41823"/>
    <w:rsid w:val="00C52170"/>
    <w:rsid w:val="00C52F06"/>
    <w:rsid w:val="00C802DE"/>
    <w:rsid w:val="00C80B6F"/>
    <w:rsid w:val="00C81083"/>
    <w:rsid w:val="00C83111"/>
    <w:rsid w:val="00C83281"/>
    <w:rsid w:val="00C90A2D"/>
    <w:rsid w:val="00C9316B"/>
    <w:rsid w:val="00C94C6C"/>
    <w:rsid w:val="00C966BC"/>
    <w:rsid w:val="00C96A9B"/>
    <w:rsid w:val="00CA070D"/>
    <w:rsid w:val="00CA53AA"/>
    <w:rsid w:val="00CB0AA8"/>
    <w:rsid w:val="00CB270F"/>
    <w:rsid w:val="00CB7434"/>
    <w:rsid w:val="00CD4E3E"/>
    <w:rsid w:val="00CE0672"/>
    <w:rsid w:val="00CE5669"/>
    <w:rsid w:val="00CE67D3"/>
    <w:rsid w:val="00CF0F7B"/>
    <w:rsid w:val="00CF1A61"/>
    <w:rsid w:val="00CF732B"/>
    <w:rsid w:val="00D013B1"/>
    <w:rsid w:val="00D06A57"/>
    <w:rsid w:val="00D1387E"/>
    <w:rsid w:val="00D13B75"/>
    <w:rsid w:val="00D14866"/>
    <w:rsid w:val="00D160FC"/>
    <w:rsid w:val="00D161D3"/>
    <w:rsid w:val="00D21F8E"/>
    <w:rsid w:val="00D23015"/>
    <w:rsid w:val="00D2666D"/>
    <w:rsid w:val="00D32653"/>
    <w:rsid w:val="00D4397A"/>
    <w:rsid w:val="00D440AE"/>
    <w:rsid w:val="00D50CBE"/>
    <w:rsid w:val="00D51681"/>
    <w:rsid w:val="00D5252D"/>
    <w:rsid w:val="00D52B43"/>
    <w:rsid w:val="00D56D37"/>
    <w:rsid w:val="00D60AA1"/>
    <w:rsid w:val="00D733EC"/>
    <w:rsid w:val="00D80CD6"/>
    <w:rsid w:val="00D8105E"/>
    <w:rsid w:val="00D814FC"/>
    <w:rsid w:val="00D852AD"/>
    <w:rsid w:val="00D8553C"/>
    <w:rsid w:val="00D85A14"/>
    <w:rsid w:val="00D91E21"/>
    <w:rsid w:val="00D91E8B"/>
    <w:rsid w:val="00D978A5"/>
    <w:rsid w:val="00DA2909"/>
    <w:rsid w:val="00DA5683"/>
    <w:rsid w:val="00DA64A6"/>
    <w:rsid w:val="00DA6653"/>
    <w:rsid w:val="00DB4CD9"/>
    <w:rsid w:val="00DB5165"/>
    <w:rsid w:val="00DC02A8"/>
    <w:rsid w:val="00DC2BA3"/>
    <w:rsid w:val="00DC5575"/>
    <w:rsid w:val="00DC5F27"/>
    <w:rsid w:val="00DC70F5"/>
    <w:rsid w:val="00DC779C"/>
    <w:rsid w:val="00DD315B"/>
    <w:rsid w:val="00DE291F"/>
    <w:rsid w:val="00DE2E60"/>
    <w:rsid w:val="00DE59F9"/>
    <w:rsid w:val="00DE6074"/>
    <w:rsid w:val="00DE6B51"/>
    <w:rsid w:val="00DE6CFC"/>
    <w:rsid w:val="00DE7E27"/>
    <w:rsid w:val="00DF40A6"/>
    <w:rsid w:val="00E048BE"/>
    <w:rsid w:val="00E04ABD"/>
    <w:rsid w:val="00E107B9"/>
    <w:rsid w:val="00E13E8E"/>
    <w:rsid w:val="00E20393"/>
    <w:rsid w:val="00E2295B"/>
    <w:rsid w:val="00E26A79"/>
    <w:rsid w:val="00E2704C"/>
    <w:rsid w:val="00E363CB"/>
    <w:rsid w:val="00E41B8B"/>
    <w:rsid w:val="00E51E9B"/>
    <w:rsid w:val="00E527F8"/>
    <w:rsid w:val="00E60D46"/>
    <w:rsid w:val="00E63999"/>
    <w:rsid w:val="00E63BC3"/>
    <w:rsid w:val="00E663F2"/>
    <w:rsid w:val="00E70B85"/>
    <w:rsid w:val="00E73A03"/>
    <w:rsid w:val="00E7443E"/>
    <w:rsid w:val="00E74A37"/>
    <w:rsid w:val="00E85208"/>
    <w:rsid w:val="00E85996"/>
    <w:rsid w:val="00E938E1"/>
    <w:rsid w:val="00EA390D"/>
    <w:rsid w:val="00EA7936"/>
    <w:rsid w:val="00EB2DA2"/>
    <w:rsid w:val="00EB37CF"/>
    <w:rsid w:val="00EC23C8"/>
    <w:rsid w:val="00EC4B40"/>
    <w:rsid w:val="00EC6A86"/>
    <w:rsid w:val="00ED3008"/>
    <w:rsid w:val="00ED31A4"/>
    <w:rsid w:val="00ED3DE9"/>
    <w:rsid w:val="00ED5B86"/>
    <w:rsid w:val="00EE1D10"/>
    <w:rsid w:val="00EE56E5"/>
    <w:rsid w:val="00EE6263"/>
    <w:rsid w:val="00EE72CA"/>
    <w:rsid w:val="00EE7565"/>
    <w:rsid w:val="00EF06C2"/>
    <w:rsid w:val="00EF0AB0"/>
    <w:rsid w:val="00EF4043"/>
    <w:rsid w:val="00EF5F2B"/>
    <w:rsid w:val="00F02112"/>
    <w:rsid w:val="00F04A59"/>
    <w:rsid w:val="00F04DF4"/>
    <w:rsid w:val="00F055D5"/>
    <w:rsid w:val="00F157DC"/>
    <w:rsid w:val="00F25A51"/>
    <w:rsid w:val="00F2611A"/>
    <w:rsid w:val="00F26D87"/>
    <w:rsid w:val="00F2707F"/>
    <w:rsid w:val="00F31751"/>
    <w:rsid w:val="00F3292C"/>
    <w:rsid w:val="00F33357"/>
    <w:rsid w:val="00F37F02"/>
    <w:rsid w:val="00F42BAE"/>
    <w:rsid w:val="00F657C7"/>
    <w:rsid w:val="00F700DB"/>
    <w:rsid w:val="00F72F49"/>
    <w:rsid w:val="00F76883"/>
    <w:rsid w:val="00F769DF"/>
    <w:rsid w:val="00F76B88"/>
    <w:rsid w:val="00F84A99"/>
    <w:rsid w:val="00F85CD6"/>
    <w:rsid w:val="00FB28AB"/>
    <w:rsid w:val="00FB7520"/>
    <w:rsid w:val="00FC6F3E"/>
    <w:rsid w:val="00FD28A6"/>
    <w:rsid w:val="00FD6B29"/>
    <w:rsid w:val="00FD78B4"/>
    <w:rsid w:val="00FD7D35"/>
    <w:rsid w:val="00FE1DA6"/>
    <w:rsid w:val="00FE3CD3"/>
    <w:rsid w:val="00FE437F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E03B75"/>
  <w15:docId w15:val="{FFEEB993-56F3-4DDD-8BA5-04B86EF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C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71CE6"/>
    <w:pPr>
      <w:keepNext/>
      <w:widowControl w:val="0"/>
      <w:spacing w:after="0" w:line="240" w:lineRule="auto"/>
      <w:ind w:right="1132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1C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footnote reference"/>
    <w:basedOn w:val="a0"/>
    <w:semiHidden/>
    <w:rsid w:val="00B71CE6"/>
    <w:rPr>
      <w:vertAlign w:val="superscript"/>
    </w:rPr>
  </w:style>
  <w:style w:type="paragraph" w:styleId="a4">
    <w:name w:val="footnote text"/>
    <w:basedOn w:val="a"/>
    <w:link w:val="a5"/>
    <w:semiHidden/>
    <w:rsid w:val="00B71CE6"/>
    <w:pPr>
      <w:spacing w:after="0" w:line="240" w:lineRule="auto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71CE6"/>
    <w:rPr>
      <w:rFonts w:ascii="Arial" w:eastAsia="Times New Roman" w:hAnsi="Arial" w:cs="Arial"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CE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663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66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663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E663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663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63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E663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66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8D25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D25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12">
    <w:name w:val="Светлая заливка - Акцент 12"/>
    <w:basedOn w:val="a1"/>
    <w:uiPriority w:val="60"/>
    <w:rsid w:val="003930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header"/>
    <w:basedOn w:val="a"/>
    <w:link w:val="af"/>
    <w:uiPriority w:val="99"/>
    <w:unhideWhenUsed/>
    <w:rsid w:val="005E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7921"/>
  </w:style>
  <w:style w:type="paragraph" w:styleId="af0">
    <w:name w:val="footer"/>
    <w:basedOn w:val="a"/>
    <w:link w:val="af1"/>
    <w:uiPriority w:val="99"/>
    <w:unhideWhenUsed/>
    <w:rsid w:val="005E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7921"/>
  </w:style>
  <w:style w:type="character" w:styleId="af2">
    <w:name w:val="page number"/>
    <w:basedOn w:val="a0"/>
    <w:rsid w:val="00843DE0"/>
  </w:style>
  <w:style w:type="paragraph" w:styleId="31">
    <w:name w:val="Body Text Indent 3"/>
    <w:basedOn w:val="a"/>
    <w:link w:val="32"/>
    <w:unhideWhenUsed/>
    <w:rsid w:val="006C35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35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FC6F3E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33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544E45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44E45"/>
    <w:rPr>
      <w:rFonts w:ascii="Times New Roman" w:hAnsi="Times New Roman" w:cs="Times New Roman"/>
      <w:sz w:val="26"/>
      <w:szCs w:val="26"/>
    </w:rPr>
  </w:style>
  <w:style w:type="character" w:customStyle="1" w:styleId="af6">
    <w:name w:val="Абзац списка Знак"/>
    <w:link w:val="af5"/>
    <w:uiPriority w:val="34"/>
    <w:rsid w:val="00544E45"/>
  </w:style>
  <w:style w:type="character" w:customStyle="1" w:styleId="40">
    <w:name w:val="Заголовок 4 Знак"/>
    <w:basedOn w:val="a0"/>
    <w:link w:val="4"/>
    <w:uiPriority w:val="9"/>
    <w:semiHidden/>
    <w:rsid w:val="00A426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Ввод в действие жилых домов</a:t>
            </a:r>
            <a:r>
              <a:rPr lang="ru-RU" sz="1300" baseline="0"/>
              <a:t> </a:t>
            </a:r>
            <a:r>
              <a:rPr lang="ru-RU" sz="1300"/>
              <a:t>в 2015-2020 гг. (</a:t>
            </a:r>
            <a:r>
              <a:rPr lang="ru-RU"/>
              <a:t>тыс. кв. м</a:t>
            </a:r>
            <a:r>
              <a:rPr lang="ru-RU" sz="1300"/>
              <a:t>)</a:t>
            </a:r>
            <a:endParaRPr lang="en-US" sz="1300"/>
          </a:p>
        </c:rich>
      </c:tx>
      <c:layout>
        <c:manualLayout>
          <c:xMode val="edge"/>
          <c:yMode val="edge"/>
          <c:x val="0.10552511415525115"/>
          <c:y val="2.7151778441487917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934544996943874"/>
          <c:y val="0.22465543551242145"/>
          <c:w val="0.70355852139685271"/>
          <c:h val="0.48475398321688662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ввод</c:v>
                </c:pt>
              </c:strCache>
            </c:strRef>
          </c:tx>
          <c:marker>
            <c:symbol val="diamond"/>
            <c:size val="7"/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янв.-июнь 
2015</c:v>
                </c:pt>
                <c:pt idx="1">
                  <c:v>янв.-июнь 
2016</c:v>
                </c:pt>
                <c:pt idx="2">
                  <c:v>янв.-июнь 
2017</c:v>
                </c:pt>
                <c:pt idx="3">
                  <c:v>янв.-июнь 
2018</c:v>
                </c:pt>
                <c:pt idx="4">
                  <c:v>янв.-июнь 
2019</c:v>
                </c:pt>
                <c:pt idx="5">
                  <c:v>янв.-июнь 
2020</c:v>
                </c:pt>
              </c:strCache>
            </c:strRef>
          </c:cat>
          <c:val>
            <c:numRef>
              <c:f>Лист1!$B$2:$G$2</c:f>
              <c:numCache>
                <c:formatCode>0.0</c:formatCode>
                <c:ptCount val="6"/>
                <c:pt idx="0">
                  <c:v>1444.8</c:v>
                </c:pt>
                <c:pt idx="1">
                  <c:v>1272.0999999999999</c:v>
                </c:pt>
                <c:pt idx="2">
                  <c:v>1635.9</c:v>
                </c:pt>
                <c:pt idx="3">
                  <c:v>961.4</c:v>
                </c:pt>
                <c:pt idx="4">
                  <c:v>595.1</c:v>
                </c:pt>
                <c:pt idx="5">
                  <c:v>724.9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75-4506-BCE1-CEC966FA6B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>
              <a:solidFill>
                <a:schemeClr val="accent1"/>
              </a:solidFill>
              <a:prstDash val="dash"/>
            </a:ln>
          </c:spPr>
        </c:dropLines>
        <c:marker val="1"/>
        <c:smooth val="0"/>
        <c:axId val="677308592"/>
        <c:axId val="677310160"/>
      </c:lineChart>
      <c:catAx>
        <c:axId val="67730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77310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7310160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noFill/>
          <a:ln>
            <a:noFill/>
            <a:prstDash val="sysDot"/>
          </a:ln>
        </c:spPr>
        <c:txPr>
          <a:bodyPr rot="0" vert="horz"/>
          <a:lstStyle/>
          <a:p>
            <a:pPr>
              <a:defRPr>
                <a:noFill/>
              </a:defRPr>
            </a:pPr>
            <a:endParaRPr lang="ru-RU"/>
          </a:p>
        </c:txPr>
        <c:crossAx val="677308592"/>
        <c:crosses val="autoZero"/>
        <c:crossBetween val="between"/>
        <c:majorUnit val="500"/>
        <c:minorUnit val="200"/>
      </c:valAx>
      <c:spPr>
        <a:noFill/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Индексы цен, в % к декабрю предыдущего года</a:t>
            </a:r>
          </a:p>
        </c:rich>
      </c:tx>
      <c:layout>
        <c:manualLayout>
          <c:xMode val="edge"/>
          <c:yMode val="edge"/>
          <c:x val="0.16514203252268744"/>
          <c:y val="8.581937375871862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2193818946063477"/>
          <c:y val="0.1642662711005981"/>
          <c:w val="0.54713213431346908"/>
          <c:h val="0.672123439954246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июнь 2018</c:v>
                </c:pt>
              </c:strCache>
            </c:strRef>
          </c:tx>
          <c:spPr>
            <a:solidFill>
              <a:srgbClr val="AABAD7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9.63623223319681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C9-43B7-A406-6D97BC76D3A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платные услуги населению</c:v>
                </c:pt>
                <c:pt idx="1">
                  <c:v>непродовольственные товары</c:v>
                </c:pt>
                <c:pt idx="2">
                  <c:v>продовольственные товары</c:v>
                </c:pt>
                <c:pt idx="3">
                  <c:v>ИПЦ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101.73</c:v>
                </c:pt>
                <c:pt idx="1">
                  <c:v>102.41</c:v>
                </c:pt>
                <c:pt idx="2">
                  <c:v>102.79</c:v>
                </c:pt>
                <c:pt idx="3">
                  <c:v>102.36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C9-43B7-A406-6D97BC76D3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июнь 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8039972002508034E-16"/>
                  <c:y val="-4.8181161165984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C9-43B7-A406-6D97BC76D3A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платные услуги населению</c:v>
                </c:pt>
                <c:pt idx="1">
                  <c:v>непродовольственные товары</c:v>
                </c:pt>
                <c:pt idx="2">
                  <c:v>продовольственные товары</c:v>
                </c:pt>
                <c:pt idx="3">
                  <c:v>ИПЦ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102.95</c:v>
                </c:pt>
                <c:pt idx="1">
                  <c:v>101.61</c:v>
                </c:pt>
                <c:pt idx="2">
                  <c:v>103.73</c:v>
                </c:pt>
                <c:pt idx="3">
                  <c:v>102.77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C9-43B7-A406-6D97BC76D3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июнь 2020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1.353790613718428E-2"/>
                  <c:y val="-6.64243534331477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C9-43B7-A406-6D97BC76D3A2}"/>
                </c:ext>
              </c:extLst>
            </c:dLbl>
            <c:dLbl>
              <c:idx val="2"/>
              <c:layout>
                <c:manualLayout>
                  <c:x val="-4.512635379061371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C9-43B7-A406-6D97BC76D3A2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платные услуги населению</c:v>
                </c:pt>
                <c:pt idx="1">
                  <c:v>непродовольственные товары</c:v>
                </c:pt>
                <c:pt idx="2">
                  <c:v>продовольственные товары</c:v>
                </c:pt>
                <c:pt idx="3">
                  <c:v>ИПЦ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101.4</c:v>
                </c:pt>
                <c:pt idx="1">
                  <c:v>101.6</c:v>
                </c:pt>
                <c:pt idx="2">
                  <c:v>104.6</c:v>
                </c:pt>
                <c:pt idx="3">
                  <c:v>102.5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C9-43B7-A406-6D97BC76D3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77310552"/>
        <c:axId val="677310944"/>
      </c:barChart>
      <c:catAx>
        <c:axId val="677310552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nextTo"/>
        <c:crossAx val="677310944"/>
        <c:crosses val="autoZero"/>
        <c:auto val="1"/>
        <c:lblAlgn val="ctr"/>
        <c:lblOffset val="100"/>
        <c:noMultiLvlLbl val="0"/>
      </c:catAx>
      <c:valAx>
        <c:axId val="6773109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677310552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8.7260865857471791E-3"/>
          <c:y val="0.87191492255182701"/>
          <c:w val="0.9744599050569942"/>
          <c:h val="0.1212922306133006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Структура экспорта, в %</a:t>
            </a:r>
          </a:p>
        </c:rich>
      </c:tx>
      <c:layout>
        <c:manualLayout>
          <c:xMode val="edge"/>
          <c:yMode val="edge"/>
          <c:x val="0.12943040702001801"/>
          <c:y val="3.379296852172278E-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453245583108083"/>
          <c:y val="6.6089391294626404E-2"/>
          <c:w val="0.67478630469698764"/>
          <c:h val="0.523899505301430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CHART_DATA_0!$B$1</c:f>
              <c:strCache>
                <c:ptCount val="1"/>
                <c:pt idx="0">
                  <c:v>другие товары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23836258649486997"/>
                  <c:y val="5.3620938227791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200906704843709E-2"/>
                      <c:h val="4.88570970882160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74F-4624-9AD7-F85CDB935A85}"/>
                </c:ext>
              </c:extLst>
            </c:dLbl>
            <c:dLbl>
              <c:idx val="1"/>
              <c:layout>
                <c:manualLayout>
                  <c:x val="0.2388058219995228"/>
                  <c:y val="3.9547521348563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4F-4624-9AD7-F85CDB935A8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CHART_DATA_0!$B$2:$B$3</c:f>
              <c:numCache>
                <c:formatCode>General</c:formatCode>
                <c:ptCount val="2"/>
                <c:pt idx="0">
                  <c:v>3.0999999999999943</c:v>
                </c:pt>
                <c:pt idx="1">
                  <c:v>7.1999999999999886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2-174F-4624-9AD7-F85CDB935A85}"/>
            </c:ext>
          </c:extLst>
        </c:ser>
        <c:ser>
          <c:idx val="1"/>
          <c:order val="1"/>
          <c:tx>
            <c:strRef>
              <c:f>CHART_DATA_0!$C$1</c:f>
              <c:strCache>
                <c:ptCount val="1"/>
                <c:pt idx="0">
                  <c:v>продукция химической промышленности, каучук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23855270818420424"/>
                  <c:y val="-7.909504269712765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4F-4624-9AD7-F85CDB935A85}"/>
                </c:ext>
              </c:extLst>
            </c:dLbl>
            <c:dLbl>
              <c:idx val="1"/>
              <c:layout>
                <c:manualLayout>
                  <c:x val="0.23893256979241231"/>
                  <c:y val="-1.64743139501928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4F-4624-9AD7-F85CDB935A8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CHART_DATA_0!$C$2:$C$3</c:f>
              <c:numCache>
                <c:formatCode>General</c:formatCode>
                <c:ptCount val="2"/>
                <c:pt idx="0">
                  <c:v>1.9</c:v>
                </c:pt>
                <c:pt idx="1">
                  <c:v>2.1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5-174F-4624-9AD7-F85CDB935A85}"/>
            </c:ext>
          </c:extLst>
        </c:ser>
        <c:ser>
          <c:idx val="2"/>
          <c:order val="2"/>
          <c:tx>
            <c:strRef>
              <c:f>CHART_DATA_0!$D$1</c:f>
              <c:strCache>
                <c:ptCount val="1"/>
                <c:pt idx="0">
                  <c:v>древесина и целлюлозно-бумажные изделия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23855270818420424"/>
                  <c:y val="-2.438381821990560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4F-4624-9AD7-F85CDB935A85}"/>
                </c:ext>
              </c:extLst>
            </c:dLbl>
            <c:dLbl>
              <c:idx val="1"/>
              <c:layout>
                <c:manualLayout>
                  <c:x val="0.23893256979241231"/>
                  <c:y val="-3.37734895814079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4F-4624-9AD7-F85CDB935A8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CHART_DATA_0!$D$2:$D$3</c:f>
              <c:numCache>
                <c:formatCode>General</c:formatCode>
                <c:ptCount val="2"/>
                <c:pt idx="0">
                  <c:v>4</c:v>
                </c:pt>
                <c:pt idx="1">
                  <c:v>3.7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8-174F-4624-9AD7-F85CDB935A85}"/>
            </c:ext>
          </c:extLst>
        </c:ser>
        <c:ser>
          <c:idx val="3"/>
          <c:order val="3"/>
          <c:tx>
            <c:strRef>
              <c:f>CHART_DATA_0!$E$1</c:f>
              <c:strCache>
                <c:ptCount val="1"/>
                <c:pt idx="0">
                  <c:v>продовольственные товары и сельскохозяйственное сырье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2388058219995228"/>
                  <c:y val="-4.085813217009857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4F-4624-9AD7-F85CDB935A85}"/>
                </c:ext>
              </c:extLst>
            </c:dLbl>
            <c:dLbl>
              <c:idx val="1"/>
              <c:layout>
                <c:manualLayout>
                  <c:x val="0.2388058219995228"/>
                  <c:y val="-5.37902480499796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4F-4624-9AD7-F85CDB935A8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CHART_DATA_0!$E$2:$E$3</c:f>
              <c:numCache>
                <c:formatCode>General</c:formatCode>
                <c:ptCount val="2"/>
                <c:pt idx="0">
                  <c:v>3.5</c:v>
                </c:pt>
                <c:pt idx="1">
                  <c:v>4.5999999999999996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B-174F-4624-9AD7-F85CDB935A85}"/>
            </c:ext>
          </c:extLst>
        </c:ser>
        <c:ser>
          <c:idx val="4"/>
          <c:order val="4"/>
          <c:tx>
            <c:strRef>
              <c:f>CHART_DATA_0!$F$1</c:f>
              <c:strCache>
                <c:ptCount val="1"/>
                <c:pt idx="0">
                  <c:v>металлы и изделия из них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CHART_DATA_0!$F$2:$F$3</c:f>
              <c:numCache>
                <c:formatCode>General</c:formatCode>
                <c:ptCount val="2"/>
                <c:pt idx="0">
                  <c:v>6.5</c:v>
                </c:pt>
                <c:pt idx="1">
                  <c:v>6.2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C-174F-4624-9AD7-F85CDB935A85}"/>
            </c:ext>
          </c:extLst>
        </c:ser>
        <c:ser>
          <c:idx val="5"/>
          <c:order val="5"/>
          <c:tx>
            <c:strRef>
              <c:f>CHART_DATA_0!$G$1</c:f>
              <c:strCache>
                <c:ptCount val="1"/>
                <c:pt idx="0">
                  <c:v>машины, оборудование, транспортные средства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CHART_DATA_0!$G$2:$G$3</c:f>
              <c:numCache>
                <c:formatCode>0.0</c:formatCode>
                <c:ptCount val="2"/>
                <c:pt idx="0">
                  <c:v>8.1999999999999993</c:v>
                </c:pt>
                <c:pt idx="1">
                  <c:v>10.3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D-174F-4624-9AD7-F85CDB935A85}"/>
            </c:ext>
          </c:extLst>
        </c:ser>
        <c:ser>
          <c:idx val="6"/>
          <c:order val="6"/>
          <c:tx>
            <c:strRef>
              <c:f>CHART_DATA_0!$H$1</c:f>
              <c:strCache>
                <c:ptCount val="1"/>
                <c:pt idx="0">
                  <c:v>минеральные продукты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CHART_DATA_0!$H$2:$H$3</c:f>
              <c:numCache>
                <c:formatCode>General</c:formatCode>
                <c:ptCount val="2"/>
                <c:pt idx="0">
                  <c:v>72.8</c:v>
                </c:pt>
                <c:pt idx="1">
                  <c:v>65.900000000000006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E-174F-4624-9AD7-F85CDB935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"/>
        <c:overlap val="100"/>
        <c:axId val="677311336"/>
        <c:axId val="677312120"/>
      </c:barChart>
      <c:catAx>
        <c:axId val="677311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677312120"/>
        <c:crosses val="autoZero"/>
        <c:auto val="1"/>
        <c:lblAlgn val="ctr"/>
        <c:lblOffset val="100"/>
        <c:noMultiLvlLbl val="0"/>
      </c:catAx>
      <c:valAx>
        <c:axId val="6773121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77311336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6814568072504974"/>
          <c:w val="0.99810710228385635"/>
          <c:h val="0.31854319274950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300"/>
            </a:pPr>
            <a:r>
              <a:rPr lang="ru-RU" sz="1300"/>
              <a:t>Структура импорта, в %</a:t>
            </a:r>
          </a:p>
        </c:rich>
      </c:tx>
      <c:layout>
        <c:manualLayout>
          <c:xMode val="edge"/>
          <c:yMode val="edge"/>
          <c:x val="0.13000718445269996"/>
          <c:y val="3.5106196243637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995935219050965"/>
          <c:y val="7.7814957174586988E-2"/>
          <c:w val="0.7023142898212773"/>
          <c:h val="0.5688129821055147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CHART_DATA_0!$B$1</c:f>
              <c:strCache>
                <c:ptCount val="1"/>
                <c:pt idx="0">
                  <c:v>другие товары</c:v>
                </c:pt>
              </c:strCache>
            </c:strRef>
          </c:tx>
          <c:spPr>
            <a:solidFill>
              <a:schemeClr val="accent1">
                <a:shade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2285419441264204"/>
                  <c:y val="-6.84710421943932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9A-475F-BCC8-89F72C60378E}"/>
                </c:ext>
              </c:extLst>
            </c:dLbl>
            <c:dLbl>
              <c:idx val="1"/>
              <c:layout>
                <c:manualLayout>
                  <c:x val="0.2387329922038675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9A-475F-BCC8-89F72C60378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CHART_DATA_0!$B$2:$B$3</c:f>
              <c:numCache>
                <c:formatCode>0.0</c:formatCode>
                <c:ptCount val="2"/>
                <c:pt idx="0">
                  <c:v>8.4000000000000057</c:v>
                </c:pt>
                <c:pt idx="1">
                  <c:v>8.2000000000000028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2-7E9A-475F-BCC8-89F72C60378E}"/>
            </c:ext>
          </c:extLst>
        </c:ser>
        <c:ser>
          <c:idx val="1"/>
          <c:order val="1"/>
          <c:tx>
            <c:strRef>
              <c:f>CHART_DATA_0!$C$1</c:f>
              <c:strCache>
                <c:ptCount val="1"/>
                <c:pt idx="0">
                  <c:v>текстиль, текстильные изделия, обувь</c:v>
                </c:pt>
              </c:strCache>
            </c:strRef>
          </c:tx>
          <c:spPr>
            <a:solidFill>
              <a:schemeClr val="accent1">
                <a:shade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0.23584833335995273"/>
                  <c:y val="-1.4939456097399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052466818929581"/>
                      <c:h val="4.98414168817133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E9A-475F-BCC8-89F72C60378E}"/>
                </c:ext>
              </c:extLst>
            </c:dLbl>
            <c:dLbl>
              <c:idx val="1"/>
              <c:layout>
                <c:manualLayout>
                  <c:x val="0.23873299220386759"/>
                  <c:y val="-1.1204481792717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E9A-475F-BCC8-89F72C60378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CHART_DATA_0!$C$2:$C$3</c:f>
              <c:numCache>
                <c:formatCode>0.0</c:formatCode>
                <c:ptCount val="2"/>
                <c:pt idx="0">
                  <c:v>4.3</c:v>
                </c:pt>
                <c:pt idx="1">
                  <c:v>4.5999999999999996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5-7E9A-475F-BCC8-89F72C60378E}"/>
            </c:ext>
          </c:extLst>
        </c:ser>
        <c:ser>
          <c:idx val="2"/>
          <c:order val="2"/>
          <c:tx>
            <c:strRef>
              <c:f>CHART_DATA_0!$D$1</c:f>
              <c:strCache>
                <c:ptCount val="1"/>
                <c:pt idx="0">
                  <c:v>металлы и изделия из них</c:v>
                </c:pt>
              </c:strCache>
            </c:strRef>
          </c:tx>
          <c:spPr>
            <a:solidFill>
              <a:schemeClr val="accent1">
                <a:shade val="9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CHART_DATA_0!$D$2:$D$3</c:f>
              <c:numCache>
                <c:formatCode>0.0</c:formatCode>
                <c:ptCount val="2"/>
                <c:pt idx="0">
                  <c:v>8.6999999999999993</c:v>
                </c:pt>
                <c:pt idx="1">
                  <c:v>6.9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6-7E9A-475F-BCC8-89F72C60378E}"/>
            </c:ext>
          </c:extLst>
        </c:ser>
        <c:ser>
          <c:idx val="3"/>
          <c:order val="3"/>
          <c:tx>
            <c:strRef>
              <c:f>CHART_DATA_0!$E$1</c:f>
              <c:strCache>
                <c:ptCount val="1"/>
                <c:pt idx="0">
                  <c:v>продукция химической промышленности, каучук</c:v>
                </c:pt>
              </c:strCache>
            </c:strRef>
          </c:tx>
          <c:spPr>
            <a:solidFill>
              <a:schemeClr val="accent1">
                <a:tint val="9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CHART_DATA_0!$E$2:$E$3</c:f>
              <c:numCache>
                <c:formatCode>0.0</c:formatCode>
                <c:ptCount val="2"/>
                <c:pt idx="0">
                  <c:v>13.4</c:v>
                </c:pt>
                <c:pt idx="1">
                  <c:v>14.2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7-7E9A-475F-BCC8-89F72C60378E}"/>
            </c:ext>
          </c:extLst>
        </c:ser>
        <c:ser>
          <c:idx val="4"/>
          <c:order val="4"/>
          <c:tx>
            <c:strRef>
              <c:f>CHART_DATA_0!$F$1</c:f>
              <c:strCache>
                <c:ptCount val="1"/>
                <c:pt idx="0">
                  <c:v>продовольственные товары и сельскохозяйственное сырье</c:v>
                </c:pt>
              </c:strCache>
            </c:strRef>
          </c:tx>
          <c:spPr>
            <a:solidFill>
              <a:schemeClr val="accent1">
                <a:tint val="7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CHART_DATA_0!$F$2:$F$3</c:f>
              <c:numCache>
                <c:formatCode>0.0</c:formatCode>
                <c:ptCount val="2"/>
                <c:pt idx="0">
                  <c:v>20.100000000000001</c:v>
                </c:pt>
                <c:pt idx="1">
                  <c:v>20.100000000000001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8-7E9A-475F-BCC8-89F72C60378E}"/>
            </c:ext>
          </c:extLst>
        </c:ser>
        <c:ser>
          <c:idx val="5"/>
          <c:order val="5"/>
          <c:tx>
            <c:strRef>
              <c:f>CHART_DATA_0!$G$1</c:f>
              <c:strCache>
                <c:ptCount val="1"/>
                <c:pt idx="0">
                  <c:v>машины, оборудование, транспортные средства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CHART_DATA_0!$A$2:$A$3</c:f>
              <c:strCache>
                <c:ptCount val="2"/>
                <c:pt idx="0">
                  <c:v>январь-июнь 2019</c:v>
                </c:pt>
                <c:pt idx="1">
                  <c:v>январь-июнь 2020</c:v>
                </c:pt>
              </c:strCache>
            </c:strRef>
          </c:cat>
          <c:val>
            <c:numRef>
              <c:f>CHART_DATA_0!$G$2:$G$3</c:f>
              <c:numCache>
                <c:formatCode>0.0</c:formatCode>
                <c:ptCount val="2"/>
                <c:pt idx="0">
                  <c:v>45.1</c:v>
                </c:pt>
                <c:pt idx="1">
                  <c:v>46</c:v>
                </c:pt>
              </c:numCache>
            </c:numRef>
          </c:val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="http://schemas.openxmlformats.org/wordprocessingml/2006/main">
            <c:ext xmlns:c16="http://schemas.microsoft.com/office/drawing/2014/chart" uri="{C3380CC4-5D6E-409C-BE32-E72D297353CC}">
              <c16:uniqueId val="{00000009-7E9A-475F-BCC8-89F72C6037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"/>
        <c:overlap val="100"/>
        <c:axId val="677314864"/>
        <c:axId val="677316040"/>
      </c:barChart>
      <c:catAx>
        <c:axId val="677314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677316040"/>
        <c:crosses val="autoZero"/>
        <c:auto val="1"/>
        <c:lblAlgn val="ctr"/>
        <c:lblOffset val="100"/>
        <c:noMultiLvlLbl val="0"/>
      </c:catAx>
      <c:valAx>
        <c:axId val="67731604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77314864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4"/>
        <c:txPr>
          <a:bodyPr rot="0" vert="horz"/>
          <a:lstStyle/>
          <a:p>
            <a:pPr>
              <a:defRPr sz="750"/>
            </a:pPr>
            <a:endParaRPr lang="ru-RU"/>
          </a:p>
        </c:txPr>
      </c:legendEntry>
      <c:layout>
        <c:manualLayout>
          <c:xMode val="edge"/>
          <c:yMode val="edge"/>
          <c:x val="0"/>
          <c:y val="0.74406963835402928"/>
          <c:w val="1"/>
          <c:h val="0.2559303616459707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750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b="1">
                <a:solidFill>
                  <a:sysClr val="windowText" lastClr="000000"/>
                </a:solidFill>
              </a:rPr>
              <a:t>Инвестиции в основной капитал </a:t>
            </a:r>
            <a:r>
              <a:rPr lang="ru-RU" sz="1300" b="1"/>
              <a:t>в </a:t>
            </a:r>
            <a:r>
              <a:rPr lang="ru-RU"/>
              <a:t>2018-2020 гг</a:t>
            </a:r>
            <a:r>
              <a:rPr lang="ru-RU" sz="1300" b="1"/>
              <a:t>.</a:t>
            </a:r>
          </a:p>
        </c:rich>
      </c:tx>
      <c:layout>
        <c:manualLayout>
          <c:xMode val="edge"/>
          <c:yMode val="edge"/>
          <c:x val="0.1991838224013467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7470396769124238"/>
          <c:y val="0.17763486540926571"/>
          <c:w val="0.66626794873389639"/>
          <c:h val="0.48114704266617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Объем инвестиций в основной капитал, млрд руб.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6B95C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3CD-4615-A387-EB9821C40866}"/>
              </c:ext>
            </c:extLst>
          </c:dPt>
          <c:dPt>
            <c:idx val="2"/>
            <c:invertIfNegative val="0"/>
            <c:bubble3D val="0"/>
            <c:spPr>
              <a:solidFill>
                <a:srgbClr val="4070A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3CD-4615-A387-EB9821C40866}"/>
              </c:ext>
            </c:extLst>
          </c:dPt>
          <c:dLbls>
            <c:dLbl>
              <c:idx val="2"/>
              <c:layout>
                <c:manualLayout>
                  <c:x val="0"/>
                  <c:y val="1.8604651162790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CD-4615-A387-EB9821C40866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Лист1!$D$2:$F$2</c:f>
              <c:strCache>
                <c:ptCount val="3"/>
                <c:pt idx="0">
                  <c:v>январь-март
2018</c:v>
                </c:pt>
                <c:pt idx="1">
                  <c:v>январь-март
2019</c:v>
                </c:pt>
                <c:pt idx="2">
                  <c:v>январь-март
2020</c:v>
                </c:pt>
              </c:strCache>
            </c:strRef>
          </c:cat>
          <c:val>
            <c:numRef>
              <c:f>Лист1!$D$3:$F$3</c:f>
              <c:numCache>
                <c:formatCode>General</c:formatCode>
                <c:ptCount val="3"/>
                <c:pt idx="0">
                  <c:v>88.4</c:v>
                </c:pt>
                <c:pt idx="1">
                  <c:v>76.5</c:v>
                </c:pt>
                <c:pt idx="2">
                  <c:v>99.9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CD-4615-A387-EB9821C408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overlap val="-31"/>
        <c:axId val="677317216"/>
        <c:axId val="771616928"/>
      </c:barChart>
      <c:lineChart>
        <c:grouping val="stacked"/>
        <c:varyColors val="0"/>
        <c:ser>
          <c:idx val="1"/>
          <c:order val="1"/>
          <c:tx>
            <c:strRef>
              <c:f>Лист1!$C$4</c:f>
              <c:strCache>
                <c:ptCount val="1"/>
                <c:pt idx="0">
                  <c:v>Темп роста объема инвестиций в основной капитал, в % к соответствующему периоду предыдущего года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2">
                  <a:lumMod val="60000"/>
                  <a:lumOff val="40000"/>
                </a:schemeClr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Лист1!$D$2:$F$2</c:f>
              <c:strCache>
                <c:ptCount val="3"/>
                <c:pt idx="0">
                  <c:v>январь-март
2018</c:v>
                </c:pt>
                <c:pt idx="1">
                  <c:v>январь-март
2019</c:v>
                </c:pt>
                <c:pt idx="2">
                  <c:v>январь-март
2020</c:v>
                </c:pt>
              </c:strCache>
            </c:strRef>
          </c:cat>
          <c:val>
            <c:numRef>
              <c:f>Лист1!$D$4:$F$4</c:f>
              <c:numCache>
                <c:formatCode>0.00</c:formatCode>
                <c:ptCount val="3"/>
                <c:pt idx="0">
                  <c:v>115.2</c:v>
                </c:pt>
                <c:pt idx="1">
                  <c:v>70.2</c:v>
                </c:pt>
                <c:pt idx="2">
                  <c:v>98.5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3CD-4615-A387-EB9821C40866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3CD-4615-A387-EB9821C40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1622416"/>
        <c:axId val="771618888"/>
      </c:lineChart>
      <c:catAx>
        <c:axId val="67731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1616928"/>
        <c:crosses val="autoZero"/>
        <c:auto val="1"/>
        <c:lblAlgn val="ctr"/>
        <c:lblOffset val="100"/>
        <c:noMultiLvlLbl val="0"/>
      </c:catAx>
      <c:valAx>
        <c:axId val="771616928"/>
        <c:scaling>
          <c:orientation val="minMax"/>
          <c:max val="15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77317216"/>
        <c:crosses val="autoZero"/>
        <c:crossBetween val="between"/>
      </c:valAx>
      <c:valAx>
        <c:axId val="771618888"/>
        <c:scaling>
          <c:orientation val="minMax"/>
          <c:min val="-12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1622416"/>
        <c:crosses val="max"/>
        <c:crossBetween val="between"/>
      </c:valAx>
      <c:catAx>
        <c:axId val="77162241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771618888"/>
        <c:crosses val="max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3.0444535665269312E-3"/>
          <c:y val="0.83794656981008686"/>
          <c:w val="0.98701712049027046"/>
          <c:h val="0.124576296649787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Уровень регистриуемой безработицы на конец месяца,</a:t>
            </a:r>
            <a:br>
              <a:rPr lang="ru-RU" sz="1300"/>
            </a:br>
            <a:r>
              <a:rPr lang="ru-RU" sz="1300"/>
              <a:t>в % от численности рабочей силы</a:t>
            </a:r>
          </a:p>
        </c:rich>
      </c:tx>
      <c:layout>
        <c:manualLayout>
          <c:xMode val="edge"/>
          <c:yMode val="edge"/>
          <c:x val="0.1700542888165037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030110819479967"/>
          <c:y val="0.30282362852792138"/>
          <c:w val="0.85511708430583"/>
          <c:h val="0.45423933119471199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регистриуемой безработицы на конец месяца, в % от численности рабочей силы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Лист1!$A$2:$A$14</c:f>
              <c:numCache>
                <c:formatCode>mmm\-yy</c:formatCode>
                <c:ptCount val="13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0.4</c:v>
                </c:pt>
                <c:pt idx="1">
                  <c:v>0.4</c:v>
                </c:pt>
                <c:pt idx="2">
                  <c:v>0.4</c:v>
                </c:pt>
                <c:pt idx="3">
                  <c:v>0.4</c:v>
                </c:pt>
                <c:pt idx="4">
                  <c:v>0.4</c:v>
                </c:pt>
                <c:pt idx="5">
                  <c:v>0.4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1.1000000000000001</c:v>
                </c:pt>
                <c:pt idx="11">
                  <c:v>2.4</c:v>
                </c:pt>
                <c:pt idx="12" formatCode="0.0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81-449D-B039-0B80CEC946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1618496"/>
        <c:axId val="771617320"/>
      </c:lineChart>
      <c:dateAx>
        <c:axId val="77161849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1740000"/>
          <a:lstStyle/>
          <a:p>
            <a:pPr>
              <a:defRPr/>
            </a:pPr>
            <a:endParaRPr lang="ru-RU"/>
          </a:p>
        </c:txPr>
        <c:crossAx val="771617320"/>
        <c:crosses val="autoZero"/>
        <c:auto val="1"/>
        <c:lblOffset val="10"/>
        <c:baseTimeUnit val="months"/>
      </c:dateAx>
      <c:valAx>
        <c:axId val="771617320"/>
        <c:scaling>
          <c:orientation val="minMax"/>
          <c:max val="3.1"/>
          <c:min val="0.1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bg1"/>
            </a:solidFill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771618496"/>
        <c:crosses val="autoZero"/>
        <c:crossBetween val="between"/>
        <c:majorUnit val="0.1"/>
      </c:valAx>
      <c:spPr>
        <a:noFill/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Количество официально зарегистрированных безработных </a:t>
            </a:r>
            <a:b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</a:br>
            <a: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и количество свободных рабочих мест, тыс. чел.</a:t>
            </a:r>
          </a:p>
        </c:rich>
      </c:tx>
      <c:layout>
        <c:manualLayout>
          <c:xMode val="edge"/>
          <c:yMode val="edge"/>
          <c:x val="0.11903112668278289"/>
          <c:y val="1.2186243433653296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0732699838339078E-2"/>
          <c:y val="0.1781952255968004"/>
          <c:w val="0.91216283417366661"/>
          <c:h val="0.50170378702662166"/>
        </c:manualLayout>
      </c:layout>
      <c:lineChart>
        <c:grouping val="standard"/>
        <c:varyColors val="0"/>
        <c:ser>
          <c:idx val="0"/>
          <c:order val="0"/>
          <c:tx>
            <c:strRef>
              <c:f>CHART_DATA_0!$B$1</c:f>
              <c:strCache>
                <c:ptCount val="1"/>
                <c:pt idx="0">
                  <c:v> Количество заявленных вакансий</c:v>
                </c:pt>
              </c:strCache>
            </c:strRef>
          </c:tx>
          <c:spPr>
            <a:ln w="28575" cap="rnd">
              <a:solidFill>
                <a:schemeClr val="accent1">
                  <a:shade val="76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>
                  <a:shade val="76000"/>
                </a:schemeClr>
              </a:solidFill>
              <a:ln w="9525">
                <a:solidFill>
                  <a:schemeClr val="accent1">
                    <a:shade val="76000"/>
                  </a:schemeClr>
                </a:solidFill>
              </a:ln>
              <a:effectLst/>
            </c:spPr>
          </c:marker>
          <c:dLbls>
            <c:numFmt formatCode="#,##0.0" sourceLinked="0"/>
            <c:spPr>
              <a:noFill/>
              <a:effectLst/>
            </c:spPr>
            <c:txPr>
              <a:bodyPr rot="-246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CHART_DATA_0!$A$2:$A$14</c:f>
              <c:numCache>
                <c:formatCode>mmm\-yy</c:formatCode>
                <c:ptCount val="13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</c:numCache>
            </c:numRef>
          </c:cat>
          <c:val>
            <c:numRef>
              <c:f>CHART_DATA_0!$B$2:$B$14</c:f>
              <c:numCache>
                <c:formatCode>General</c:formatCode>
                <c:ptCount val="13"/>
                <c:pt idx="0">
                  <c:v>44.5</c:v>
                </c:pt>
                <c:pt idx="1">
                  <c:v>44.2</c:v>
                </c:pt>
                <c:pt idx="2">
                  <c:v>44.2</c:v>
                </c:pt>
                <c:pt idx="3">
                  <c:v>37.6</c:v>
                </c:pt>
                <c:pt idx="4">
                  <c:v>35.4</c:v>
                </c:pt>
                <c:pt idx="5">
                  <c:v>33.9</c:v>
                </c:pt>
                <c:pt idx="6">
                  <c:v>31.2</c:v>
                </c:pt>
                <c:pt idx="7">
                  <c:v>30.3</c:v>
                </c:pt>
                <c:pt idx="8">
                  <c:v>31.1</c:v>
                </c:pt>
                <c:pt idx="9">
                  <c:v>30.8</c:v>
                </c:pt>
                <c:pt idx="10">
                  <c:v>31.8</c:v>
                </c:pt>
                <c:pt idx="11">
                  <c:v>32.9</c:v>
                </c:pt>
                <c:pt idx="12">
                  <c:v>34</c:v>
                </c:pt>
              </c:numCache>
            </c:numRef>
          </c:val>
          <c:smooth val="1"/>
          <c:extLst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          <c:ext xmlns:c16="http://schemas.microsoft.com/office/drawing/2014/chart" uri="{C3380CC4-5D6E-409C-BE32-E72D297353CC}">
              <c16:uniqueId val="{00000001-5DD0-490D-BA9C-86727E633031}"/>
            </c:ext>
          </c:extLst>
        </c:ser>
        <c:ser>
          <c:idx val="1"/>
          <c:order val="1"/>
          <c:tx>
            <c:strRef>
              <c:f>CHART_DATA_0!$C$1</c:f>
              <c:strCache>
                <c:ptCount val="1"/>
                <c:pt idx="0">
                  <c:v> Численность безработных</c:v>
                </c:pt>
              </c:strCache>
            </c:strRef>
          </c:tx>
          <c:spPr>
            <a:ln w="28575" cap="rnd">
              <a:solidFill>
                <a:schemeClr val="accent1">
                  <a:tint val="77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>
                  <a:tint val="77000"/>
                </a:schemeClr>
              </a:solidFill>
              <a:ln w="9525">
                <a:solidFill>
                  <a:schemeClr val="accent1">
                    <a:tint val="77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429362273839082E-2"/>
                  <c:y val="-7.83637729931062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BC-4329-879D-7E88E5B82AB7}"/>
                </c:ext>
              </c:extLst>
            </c:dLbl>
            <c:dLbl>
              <c:idx val="1"/>
              <c:layout>
                <c:manualLayout>
                  <c:x val="-3.9711100659623716E-2"/>
                  <c:y val="-6.7298766077476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BC-4329-879D-7E88E5B82AB7}"/>
                </c:ext>
              </c:extLst>
            </c:dLbl>
            <c:dLbl>
              <c:idx val="2"/>
              <c:layout>
                <c:manualLayout>
                  <c:x val="-3.7570231466731399E-2"/>
                  <c:y val="-6.1766262619662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BC-4329-879D-7E88E5B82AB7}"/>
                </c:ext>
              </c:extLst>
            </c:dLbl>
            <c:dLbl>
              <c:idx val="3"/>
              <c:layout>
                <c:manualLayout>
                  <c:x val="-3.9711100659623716E-2"/>
                  <c:y val="-5.62337591618475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BC-4329-879D-7E88E5B82AB7}"/>
                </c:ext>
              </c:extLst>
            </c:dLbl>
            <c:dLbl>
              <c:idx val="4"/>
              <c:layout>
                <c:manualLayout>
                  <c:x val="-4.3992839045408343E-2"/>
                  <c:y val="-4.5168752246218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BC-4329-879D-7E88E5B82AB7}"/>
                </c:ext>
              </c:extLst>
            </c:dLbl>
            <c:dLbl>
              <c:idx val="5"/>
              <c:layout>
                <c:manualLayout>
                  <c:x val="-4.3992839045408419E-2"/>
                  <c:y val="-5.0701255704032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BC-4329-879D-7E88E5B82AB7}"/>
                </c:ext>
              </c:extLst>
            </c:dLbl>
            <c:dLbl>
              <c:idx val="6"/>
              <c:layout>
                <c:manualLayout>
                  <c:x val="-5.4858171630280318E-2"/>
                  <c:y val="-3.4192613890068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88-4DE1-9850-262458FE16D2}"/>
                </c:ext>
              </c:extLst>
            </c:dLbl>
            <c:dLbl>
              <c:idx val="7"/>
              <c:layout>
                <c:manualLayout>
                  <c:x val="-6.1280779208957262E-2"/>
                  <c:y val="-3.4192613890068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88-4DE1-9850-262458FE16D2}"/>
                </c:ext>
              </c:extLst>
            </c:dLbl>
            <c:dLbl>
              <c:idx val="8"/>
              <c:layout>
                <c:manualLayout>
                  <c:x val="-6.3421648401849579E-2"/>
                  <c:y val="-4.525762080569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88-4DE1-9850-262458FE16D2}"/>
                </c:ext>
              </c:extLst>
            </c:dLbl>
            <c:dLbl>
              <c:idx val="9"/>
              <c:layout>
                <c:manualLayout>
                  <c:x val="-5.9139910016064945E-2"/>
                  <c:y val="-3.97251173478833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88-4DE1-9850-262458FE16D2}"/>
                </c:ext>
              </c:extLst>
            </c:dLbl>
            <c:dLbl>
              <c:idx val="10"/>
              <c:layout>
                <c:manualLayout>
                  <c:x val="-4.2012956472926431E-2"/>
                  <c:y val="5.4327441434965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88-4DE1-9850-262458FE16D2}"/>
                </c:ext>
              </c:extLst>
            </c:dLbl>
            <c:dLbl>
              <c:idx val="11"/>
              <c:layout>
                <c:manualLayout>
                  <c:x val="-4.2012956472926591E-2"/>
                  <c:y val="-8.3985145010400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88-4DE1-9850-262458FE16D2}"/>
                </c:ext>
              </c:extLst>
            </c:dLbl>
            <c:dLbl>
              <c:idx val="12"/>
              <c:layout>
                <c:manualLayout>
                  <c:x val="-4.2012956472926431E-2"/>
                  <c:y val="-7.2920138094771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988-4DE1-9850-262458FE16D2}"/>
                </c:ext>
              </c:extLst>
            </c:dLbl>
            <c:numFmt formatCode="#,##0.0" sourceLinked="0"/>
            <c:spPr>
              <a:noFill/>
              <a:effectLst/>
            </c:spPr>
            <c:txPr>
              <a:bodyPr rot="-246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CHART_DATA_0!$A$2:$A$14</c:f>
              <c:numCache>
                <c:formatCode>mmm\-yy</c:formatCode>
                <c:ptCount val="13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</c:numCache>
            </c:numRef>
          </c:cat>
          <c:val>
            <c:numRef>
              <c:f>CHART_DATA_0!$C$2:$C$14</c:f>
              <c:numCache>
                <c:formatCode>General</c:formatCode>
                <c:ptCount val="13"/>
                <c:pt idx="0">
                  <c:v>12.3</c:v>
                </c:pt>
                <c:pt idx="1">
                  <c:v>12.3</c:v>
                </c:pt>
                <c:pt idx="2">
                  <c:v>11.9</c:v>
                </c:pt>
                <c:pt idx="3">
                  <c:v>11.9</c:v>
                </c:pt>
                <c:pt idx="4">
                  <c:v>12.3</c:v>
                </c:pt>
                <c:pt idx="5">
                  <c:v>12.5</c:v>
                </c:pt>
                <c:pt idx="6">
                  <c:v>13.9</c:v>
                </c:pt>
                <c:pt idx="7">
                  <c:v>13.9</c:v>
                </c:pt>
                <c:pt idx="8">
                  <c:v>14.6</c:v>
                </c:pt>
                <c:pt idx="9">
                  <c:v>15.1</c:v>
                </c:pt>
                <c:pt idx="10">
                  <c:v>32.5</c:v>
                </c:pt>
                <c:pt idx="11">
                  <c:v>73.900000000000006</c:v>
                </c:pt>
                <c:pt idx="12">
                  <c:v>91.8</c:v>
                </c:pt>
              </c:numCache>
            </c:numRef>
          </c:val>
          <c:smooth val="1"/>
          <c:extLst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          <c:ext xmlns:c16="http://schemas.microsoft.com/office/drawing/2014/chart" uri="{C3380CC4-5D6E-409C-BE32-E72D297353CC}">
              <c16:uniqueId val="{00000010-5DD0-490D-BA9C-86727E633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1617712"/>
        <c:axId val="771619280"/>
      </c:lineChart>
      <c:dateAx>
        <c:axId val="77161771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46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771619280"/>
        <c:crosses val="autoZero"/>
        <c:auto val="1"/>
        <c:lblOffset val="100"/>
        <c:baseTimeUnit val="months"/>
      </c:dateAx>
      <c:valAx>
        <c:axId val="771619280"/>
        <c:scaling>
          <c:orientation val="minMax"/>
          <c:max val="91.9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spPr>
          <a:ln>
            <a:solidFill>
              <a:schemeClr val="bg1"/>
            </a:solidFill>
          </a:ln>
        </c:spPr>
        <c:crossAx val="77161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114526387477097E-2"/>
          <c:y val="0.86669116360454945"/>
          <c:w val="0.93017718686803497"/>
          <c:h val="0.110476703232608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Среднемесячная номинальная начисленная заработная плата </a:t>
            </a:r>
            <a:b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</a:br>
            <a:r>
              <a:rPr lang="ru-RU" sz="1300" b="1">
                <a:solidFill>
                  <a:sysClr val="windowText" lastClr="000000"/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rPr>
              <a:t>в 2019-2020 годах, руб.</a:t>
            </a:r>
          </a:p>
        </c:rich>
      </c:tx>
      <c:layout>
        <c:manualLayout>
          <c:xMode val="edge"/>
          <c:yMode val="edge"/>
          <c:x val="0.11356168391039032"/>
          <c:y val="1.085581515425325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14093293283395E-2"/>
          <c:y val="0.35905081536939032"/>
          <c:w val="0.91202676588503362"/>
          <c:h val="0.38253870440108029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 cap="sq">
                <a:solidFill>
                  <a:schemeClr val="accent1"/>
                </a:solidFill>
              </a:ln>
              <a:effectLst/>
            </c:spPr>
          </c:marker>
          <c:dPt>
            <c:idx val="13"/>
            <c:bubble3D val="0"/>
  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w15="http://schemas.microsoft.com/office/word/2012/wordml" xmlns:w14="http://schemas.microsoft.com/office/word/2010/wordml" xmlns:w="http://schemas.openxmlformats.org/wordprocessingml/2006/main">
              <c:ext xmlns:c16="http://schemas.microsoft.com/office/drawing/2014/chart" uri="{C3380CC4-5D6E-409C-BE32-E72D297353CC}">
                <c16:uniqueId val="{00000000-9511-444E-BE3B-A9175373B7CA}"/>
              </c:ext>
            </c:extLst>
          </c:dPt>
          <c:dLbls>
            <c:numFmt formatCode="#,##0" sourceLinked="0"/>
            <c:spPr>
              <a:noFill/>
              <a:effectLst/>
            </c:spPr>
            <c:txPr>
              <a:bodyPr rot="-234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w15="http://schemas.microsoft.com/office/word/2012/wordml" xmlns:w14="http://schemas.microsoft.com/office/word/2010/wordml" xmlns:w="http://schemas.openxmlformats.org/wordprocessingml/2006/main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CHART_DATA_0!$A$2:$A$14</c:f>
              <c:strCache>
                <c:ptCount val="13"/>
                <c:pt idx="0">
                  <c:v>янв.-май 19</c:v>
                </c:pt>
                <c:pt idx="1">
                  <c:v>янв.-июн. 19</c:v>
                </c:pt>
                <c:pt idx="2">
                  <c:v>янв.-июл. 19</c:v>
                </c:pt>
                <c:pt idx="3">
                  <c:v>янв.-авг. 19</c:v>
                </c:pt>
                <c:pt idx="4">
                  <c:v>янв.-сен. 19</c:v>
                </c:pt>
                <c:pt idx="5">
                  <c:v>янв.-окт. 19</c:v>
                </c:pt>
                <c:pt idx="6">
                  <c:v>янв.-ноя. 19</c:v>
                </c:pt>
                <c:pt idx="7">
                  <c:v>янв.-дек. 19</c:v>
                </c:pt>
                <c:pt idx="8">
                  <c:v>янв. 20</c:v>
                </c:pt>
                <c:pt idx="9">
                  <c:v>янв.-фев. 20</c:v>
                </c:pt>
                <c:pt idx="10">
                  <c:v>янв.-мар. 20</c:v>
                </c:pt>
                <c:pt idx="11">
                  <c:v>янв.-апр. 20</c:v>
                </c:pt>
                <c:pt idx="12">
                  <c:v>янв.-май 20</c:v>
                </c:pt>
              </c:strCache>
            </c:strRef>
          </c:cat>
          <c:val>
            <c:numRef>
              <c:f>CHART_DATA_0!$B$2:$B$14</c:f>
              <c:numCache>
                <c:formatCode>General</c:formatCode>
                <c:ptCount val="13"/>
                <c:pt idx="0">
                  <c:v>60799</c:v>
                </c:pt>
                <c:pt idx="1">
                  <c:v>61538</c:v>
                </c:pt>
                <c:pt idx="2">
                  <c:v>61764</c:v>
                </c:pt>
                <c:pt idx="3">
                  <c:v>61445</c:v>
                </c:pt>
                <c:pt idx="4">
                  <c:v>61304</c:v>
                </c:pt>
                <c:pt idx="5">
                  <c:v>61394</c:v>
                </c:pt>
                <c:pt idx="6">
                  <c:v>61297</c:v>
                </c:pt>
                <c:pt idx="7">
                  <c:v>65872</c:v>
                </c:pt>
                <c:pt idx="8">
                  <c:v>62513</c:v>
                </c:pt>
                <c:pt idx="9">
                  <c:v>63844</c:v>
                </c:pt>
                <c:pt idx="10">
                  <c:v>66638</c:v>
                </c:pt>
                <c:pt idx="11">
                  <c:v>65604</c:v>
                </c:pt>
                <c:pt idx="12">
                  <c:v>65337</c:v>
                </c:pt>
              </c:numCache>
            </c:numRef>
          </c:val>
          <c:smooth val="1"/>
          <c:extLst xmlns:ns33="http://schemas.openxmlformats.org/drawingml/2006/lockedCanvas" xmlns:ns32="http://schemas.openxmlformats.org/drawingml/2006/compatibility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v="urn:schemas-microsoft-com:vml" xmlns:o="urn:schemas-microsoft-com:office:office" xmlns:ns18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wne="http://schemas.microsoft.com/office/word/2006/wordml" xmlns:ns10="http://schemas.openxmlformats.org/schemaLibrary/2006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w15="http://schemas.microsoft.com/office/word/2012/wordml" xmlns:w14="http://schemas.microsoft.com/office/word/2010/wordml" xmlns:w="http://schemas.openxmlformats.org/wordprocessingml/2006/main">
            <c:ext xmlns:c16="http://schemas.microsoft.com/office/drawing/2014/chart" uri="{C3380CC4-5D6E-409C-BE32-E72D297353CC}">
              <c16:uniqueId val="{0000000E-9511-444E-BE3B-A9175373B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1622808"/>
        <c:axId val="771620064"/>
      </c:lineChart>
      <c:catAx>
        <c:axId val="771622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771620064"/>
        <c:crosses val="autoZero"/>
        <c:auto val="1"/>
        <c:lblAlgn val="ctr"/>
        <c:lblOffset val="0"/>
        <c:noMultiLvlLbl val="0"/>
      </c:catAx>
      <c:valAx>
        <c:axId val="77162006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1622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2F97-F6F5-4754-A5CE-A4D41A67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3002</Words>
  <Characters>17117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Фьерару Валерия Александровна</dc:creator>
  <cp:lastModifiedBy>Секретарь АГ</cp:lastModifiedBy>
  <cp:revision>2</cp:revision>
  <cp:lastPrinted>2020-08-13T07:51:00Z</cp:lastPrinted>
  <dcterms:created xsi:type="dcterms:W3CDTF">2020-08-13T08:12:00Z</dcterms:created>
  <dcterms:modified xsi:type="dcterms:W3CDTF">2020-08-13T08:12:00Z</dcterms:modified>
</cp:coreProperties>
</file>